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0C357187" w:rsidR="00242633" w:rsidRPr="001023CF" w:rsidRDefault="00FB6860" w:rsidP="0059280C">
            <w:pPr>
              <w:spacing w:after="240"/>
              <w:ind w:left="34"/>
              <w:jc w:val="right"/>
              <w:rPr>
                <w:rFonts w:ascii="Arial" w:hAnsi="Arial" w:cs="Arial"/>
                <w:szCs w:val="24"/>
              </w:rPr>
            </w:pPr>
            <w:r>
              <w:rPr>
                <w:rFonts w:ascii="Arial" w:hAnsi="Arial" w:cs="Arial"/>
                <w:szCs w:val="24"/>
              </w:rPr>
              <w:t>22</w:t>
            </w:r>
            <w:r w:rsidR="00345241">
              <w:rPr>
                <w:rFonts w:ascii="Arial" w:hAnsi="Arial" w:cs="Arial"/>
                <w:szCs w:val="24"/>
              </w:rPr>
              <w:t xml:space="preserve"> </w:t>
            </w:r>
            <w:r w:rsidR="00695F15">
              <w:rPr>
                <w:rFonts w:ascii="Arial" w:hAnsi="Arial" w:cs="Arial"/>
                <w:szCs w:val="24"/>
              </w:rPr>
              <w:t>March</w:t>
            </w:r>
            <w:r w:rsidR="00056E43">
              <w:rPr>
                <w:rFonts w:ascii="Arial" w:hAnsi="Arial" w:cs="Arial"/>
                <w:szCs w:val="24"/>
              </w:rPr>
              <w:t xml:space="preserve"> 2024</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06336595" w:rsidR="009827B1" w:rsidRDefault="009759A8"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C</w:t>
            </w:r>
            <w:r w:rsidR="00A70759" w:rsidRPr="001A616E">
              <w:rPr>
                <w:rFonts w:ascii="Arial" w:hAnsi="Arial" w:cs="Arial"/>
                <w:szCs w:val="24"/>
                <w:lang w:val="en-GB"/>
              </w:rPr>
              <w:t xml:space="preserve">ontracts </w:t>
            </w:r>
            <w:r w:rsidR="005107AA" w:rsidRPr="001A616E">
              <w:rPr>
                <w:rFonts w:ascii="Arial" w:hAnsi="Arial" w:cs="Arial"/>
                <w:szCs w:val="24"/>
                <w:lang w:val="en-GB"/>
              </w:rPr>
              <w:t xml:space="preserve">and operations </w:t>
            </w:r>
            <w:r w:rsidR="00A70759" w:rsidRPr="001A616E">
              <w:rPr>
                <w:rFonts w:ascii="Arial" w:hAnsi="Arial" w:cs="Arial"/>
                <w:szCs w:val="24"/>
                <w:lang w:val="en-GB"/>
              </w:rPr>
              <w:t xml:space="preserve">are </w:t>
            </w:r>
            <w:r w:rsidR="005107AA" w:rsidRPr="001A616E">
              <w:rPr>
                <w:rFonts w:ascii="Arial" w:hAnsi="Arial" w:cs="Arial"/>
                <w:szCs w:val="24"/>
                <w:lang w:val="en-GB"/>
              </w:rPr>
              <w:t>performing</w:t>
            </w:r>
            <w:r w:rsidR="00A70759" w:rsidRPr="001A616E">
              <w:rPr>
                <w:rFonts w:ascii="Arial" w:hAnsi="Arial" w:cs="Arial"/>
                <w:szCs w:val="24"/>
                <w:lang w:val="en-GB"/>
              </w:rPr>
              <w:t xml:space="preserve"> well</w:t>
            </w:r>
          </w:p>
          <w:p w14:paraId="2A83FC66" w14:textId="48B3B8DA" w:rsidR="00695F15" w:rsidRPr="001A616E" w:rsidRDefault="00243BBC"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The crane replacement programme is scheduled to begin on 1 April and a contingency plan has been developed and shared</w:t>
            </w:r>
          </w:p>
          <w:p w14:paraId="1B67FCFD" w14:textId="21068D23" w:rsidR="00A70759" w:rsidRPr="00243BBC" w:rsidRDefault="00243BBC" w:rsidP="007A2870">
            <w:pPr>
              <w:pStyle w:val="BodyText"/>
              <w:numPr>
                <w:ilvl w:val="0"/>
                <w:numId w:val="16"/>
              </w:numPr>
              <w:ind w:left="714" w:hanging="357"/>
              <w:jc w:val="left"/>
              <w:rPr>
                <w:rFonts w:ascii="Arial" w:hAnsi="Arial" w:cs="Arial"/>
                <w:szCs w:val="24"/>
                <w:lang w:val="en-GB"/>
              </w:rPr>
            </w:pPr>
            <w:r>
              <w:rPr>
                <w:rFonts w:ascii="Arial" w:hAnsi="Arial" w:cs="Arial"/>
                <w:szCs w:val="24"/>
                <w:lang w:val="en-GB"/>
              </w:rPr>
              <w:t xml:space="preserve">Much of the </w:t>
            </w:r>
            <w:r w:rsidR="00695F15" w:rsidRPr="00243BBC">
              <w:rPr>
                <w:rFonts w:ascii="Arial" w:hAnsi="Arial" w:cs="Arial"/>
                <w:szCs w:val="24"/>
                <w:lang w:val="en-GB"/>
              </w:rPr>
              <w:t>HRRC Improvements</w:t>
            </w:r>
            <w:r>
              <w:rPr>
                <w:rFonts w:ascii="Arial" w:hAnsi="Arial" w:cs="Arial"/>
                <w:szCs w:val="24"/>
                <w:lang w:val="en-GB"/>
              </w:rPr>
              <w:t xml:space="preserve"> fund is unspent, and a proposal is include</w:t>
            </w:r>
            <w:r w:rsidR="002D3F72">
              <w:rPr>
                <w:rFonts w:ascii="Arial" w:hAnsi="Arial" w:cs="Arial"/>
                <w:szCs w:val="24"/>
                <w:lang w:val="en-GB"/>
              </w:rPr>
              <w:t>d</w:t>
            </w:r>
            <w:r>
              <w:rPr>
                <w:rFonts w:ascii="Arial" w:hAnsi="Arial" w:cs="Arial"/>
                <w:szCs w:val="24"/>
                <w:lang w:val="en-GB"/>
              </w:rPr>
              <w:t xml:space="preserve"> for how to allocate the remaining money.</w:t>
            </w:r>
          </w:p>
          <w:p w14:paraId="0E222265" w14:textId="6E7E6824" w:rsidR="00C35A76" w:rsidRPr="0015183B" w:rsidRDefault="00C35A76" w:rsidP="00C35A76">
            <w:pPr>
              <w:pStyle w:val="BodyText"/>
              <w:ind w:left="714"/>
              <w:jc w:val="left"/>
              <w:rPr>
                <w:rFonts w:ascii="Arial" w:hAnsi="Arial" w:cs="Arial"/>
                <w:szCs w:val="24"/>
                <w:lang w:val="en-GB"/>
              </w:rPr>
            </w:pP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 xml:space="preserve">The Authority </w:t>
            </w:r>
            <w:r w:rsidR="005456C1" w:rsidRPr="001A616E">
              <w:rPr>
                <w:rFonts w:ascii="Arial" w:hAnsi="Arial" w:cs="Arial"/>
                <w:iCs/>
                <w:szCs w:val="24"/>
              </w:rPr>
              <w:t>is asked to:</w:t>
            </w:r>
          </w:p>
          <w:p w14:paraId="628671BC" w14:textId="77777777" w:rsidR="005B6E52" w:rsidRPr="00243BBC" w:rsidRDefault="007A2870" w:rsidP="00056E43">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szCs w:val="24"/>
                <w:lang w:val="en-GB"/>
              </w:rPr>
              <w:t>Note this report</w:t>
            </w:r>
          </w:p>
          <w:p w14:paraId="176C7DA2" w14:textId="2F5306B2" w:rsidR="00243BBC" w:rsidRPr="00056E43" w:rsidRDefault="00243BBC" w:rsidP="00056E43">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szCs w:val="24"/>
                <w:lang w:val="en-GB"/>
              </w:rPr>
              <w:t xml:space="preserve">Approve </w:t>
            </w:r>
            <w:r w:rsidR="002C644F">
              <w:rPr>
                <w:rFonts w:ascii="Arial" w:hAnsi="Arial" w:cs="Arial"/>
                <w:szCs w:val="24"/>
                <w:lang w:val="en-GB"/>
              </w:rPr>
              <w:t>remaining HRRC improvement funds to be ringfenced by each Borough to deliver improvements identified by the best practice report.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0A05D8D7" w:rsidR="00531BBC" w:rsidRDefault="00531BBC" w:rsidP="0ADA579C">
      <w:pPr>
        <w:autoSpaceDE w:val="0"/>
        <w:autoSpaceDN w:val="0"/>
        <w:adjustRightInd w:val="0"/>
        <w:spacing w:after="120"/>
        <w:ind w:left="170"/>
        <w:rPr>
          <w:rFonts w:ascii="Arial" w:hAnsi="Arial" w:cs="Arial"/>
          <w:lang w:eastAsia="en-GB"/>
        </w:rPr>
      </w:pPr>
      <w:r w:rsidRPr="0ADA579C">
        <w:rPr>
          <w:rFonts w:ascii="Arial" w:hAnsi="Arial" w:cs="Arial"/>
          <w:lang w:eastAsia="en-GB"/>
        </w:rPr>
        <w:t xml:space="preserve">This report provides an update on WLWA’s existing contracts and </w:t>
      </w:r>
      <w:r w:rsidR="00505560" w:rsidRPr="0ADA579C">
        <w:rPr>
          <w:rFonts w:ascii="Arial" w:hAnsi="Arial" w:cs="Arial"/>
          <w:lang w:eastAsia="en-GB"/>
        </w:rPr>
        <w:t>operations</w:t>
      </w:r>
      <w:r w:rsidRPr="0ADA579C">
        <w:rPr>
          <w:rFonts w:ascii="Arial" w:hAnsi="Arial" w:cs="Arial"/>
          <w:lang w:eastAsia="en-GB"/>
        </w:rPr>
        <w:t xml:space="preserve"> for managing </w:t>
      </w:r>
      <w:r w:rsidR="72D98616" w:rsidRPr="0ADA579C">
        <w:rPr>
          <w:rFonts w:ascii="Arial" w:hAnsi="Arial" w:cs="Arial"/>
          <w:lang w:eastAsia="en-GB"/>
        </w:rPr>
        <w:t>W</w:t>
      </w:r>
      <w:r w:rsidRPr="0ADA579C">
        <w:rPr>
          <w:rFonts w:ascii="Arial" w:hAnsi="Arial" w:cs="Arial"/>
          <w:lang w:eastAsia="en-GB"/>
        </w:rPr>
        <w:t xml:space="preserve">est London’s waste. </w:t>
      </w:r>
    </w:p>
    <w:p w14:paraId="69F09455" w14:textId="5932D396" w:rsidR="002D7DA9" w:rsidRPr="002D7DA9" w:rsidRDefault="00834FE4" w:rsidP="00D7602D">
      <w:pPr>
        <w:numPr>
          <w:ilvl w:val="0"/>
          <w:numId w:val="2"/>
        </w:numPr>
        <w:autoSpaceDE w:val="0"/>
        <w:autoSpaceDN w:val="0"/>
        <w:adjustRightInd w:val="0"/>
        <w:spacing w:after="120"/>
        <w:rPr>
          <w:rFonts w:ascii="Arial" w:hAnsi="Arial" w:cs="Arial"/>
          <w:szCs w:val="24"/>
          <w:lang w:eastAsia="en-GB"/>
        </w:rPr>
      </w:pPr>
      <w:r>
        <w:rPr>
          <w:rFonts w:ascii="Arial" w:hAnsi="Arial" w:cs="Arial"/>
          <w:b/>
          <w:szCs w:val="24"/>
          <w:lang w:eastAsia="en-GB"/>
        </w:rPr>
        <w:t>Contract performance</w:t>
      </w:r>
    </w:p>
    <w:p w14:paraId="4B986E5A" w14:textId="60115713" w:rsidR="00EE46F3" w:rsidRPr="007B230C" w:rsidRDefault="007B230C" w:rsidP="007B230C">
      <w:pPr>
        <w:autoSpaceDE w:val="0"/>
        <w:autoSpaceDN w:val="0"/>
        <w:adjustRightInd w:val="0"/>
        <w:spacing w:after="120"/>
        <w:ind w:left="170"/>
        <w:rPr>
          <w:highlight w:val="yellow"/>
          <w:lang w:eastAsia="en-GB"/>
        </w:rPr>
      </w:pPr>
      <w:r w:rsidRPr="007B230C">
        <w:rPr>
          <w:rFonts w:ascii="Arial" w:hAnsi="Arial" w:cs="Arial"/>
          <w:lang w:eastAsia="en-GB"/>
        </w:rPr>
        <w:t>Th</w:t>
      </w:r>
      <w:r>
        <w:rPr>
          <w:rFonts w:ascii="Arial" w:hAnsi="Arial" w:cs="Arial"/>
          <w:lang w:eastAsia="en-GB"/>
        </w:rPr>
        <w:t>e performance of the Authority’s</w:t>
      </w:r>
      <w:r w:rsidR="003C7D22">
        <w:rPr>
          <w:rFonts w:ascii="Arial" w:hAnsi="Arial" w:cs="Arial"/>
          <w:lang w:eastAsia="en-GB"/>
        </w:rPr>
        <w:t xml:space="preserve"> key operational</w:t>
      </w:r>
      <w:r>
        <w:rPr>
          <w:rFonts w:ascii="Arial" w:hAnsi="Arial" w:cs="Arial"/>
          <w:lang w:eastAsia="en-GB"/>
        </w:rPr>
        <w:t xml:space="preserve"> contracts is explained in the following table.</w:t>
      </w:r>
    </w:p>
    <w:tbl>
      <w:tblPr>
        <w:tblStyle w:val="TableGrid"/>
        <w:tblW w:w="4878" w:type="pct"/>
        <w:tblLook w:val="04A0" w:firstRow="1" w:lastRow="0" w:firstColumn="1" w:lastColumn="0" w:noHBand="0" w:noVBand="1"/>
      </w:tblPr>
      <w:tblGrid>
        <w:gridCol w:w="1395"/>
        <w:gridCol w:w="2458"/>
        <w:gridCol w:w="772"/>
        <w:gridCol w:w="650"/>
        <w:gridCol w:w="3844"/>
        <w:gridCol w:w="1083"/>
      </w:tblGrid>
      <w:tr w:rsidR="0081318F" w:rsidRPr="00DA0B88" w14:paraId="24854F27" w14:textId="79A55AAA" w:rsidTr="0081318F">
        <w:trPr>
          <w:tblHeader/>
        </w:trPr>
        <w:tc>
          <w:tcPr>
            <w:tcW w:w="684" w:type="pct"/>
            <w:vMerge w:val="restart"/>
          </w:tcPr>
          <w:p w14:paraId="6CE46B39" w14:textId="78BEF47C" w:rsidR="0081318F" w:rsidRPr="005250E5"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Contractor</w:t>
            </w:r>
          </w:p>
        </w:tc>
        <w:tc>
          <w:tcPr>
            <w:tcW w:w="1227" w:type="pct"/>
            <w:vMerge w:val="restart"/>
          </w:tcPr>
          <w:p w14:paraId="54653E78" w14:textId="01D07C17" w:rsidR="0081318F"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Service</w:t>
            </w:r>
          </w:p>
        </w:tc>
        <w:tc>
          <w:tcPr>
            <w:tcW w:w="378" w:type="pct"/>
            <w:vMerge w:val="restart"/>
          </w:tcPr>
          <w:p w14:paraId="163191A3" w14:textId="370B5D90" w:rsidR="0081318F"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Value (per year)</w:t>
            </w:r>
          </w:p>
        </w:tc>
        <w:tc>
          <w:tcPr>
            <w:tcW w:w="2225" w:type="pct"/>
            <w:gridSpan w:val="2"/>
          </w:tcPr>
          <w:p w14:paraId="17695459" w14:textId="076704D8" w:rsidR="0081318F" w:rsidRPr="005250E5" w:rsidRDefault="0081318F" w:rsidP="00CB1937">
            <w:pPr>
              <w:autoSpaceDE w:val="0"/>
              <w:autoSpaceDN w:val="0"/>
              <w:adjustRightInd w:val="0"/>
              <w:spacing w:after="120"/>
              <w:rPr>
                <w:rFonts w:ascii="Arial" w:hAnsi="Arial" w:cs="Arial"/>
                <w:b/>
                <w:bCs/>
                <w:sz w:val="20"/>
                <w:szCs w:val="16"/>
                <w:lang w:eastAsia="en-GB"/>
              </w:rPr>
            </w:pPr>
            <w:r>
              <w:rPr>
                <w:rFonts w:ascii="Arial" w:hAnsi="Arial" w:cs="Arial"/>
                <w:b/>
                <w:bCs/>
                <w:sz w:val="20"/>
                <w:szCs w:val="16"/>
                <w:lang w:eastAsia="en-GB"/>
              </w:rPr>
              <w:t>Operations</w:t>
            </w:r>
          </w:p>
        </w:tc>
        <w:tc>
          <w:tcPr>
            <w:tcW w:w="487" w:type="pct"/>
            <w:vMerge w:val="restart"/>
          </w:tcPr>
          <w:p w14:paraId="57941BB3" w14:textId="588647EB" w:rsidR="0081318F" w:rsidRPr="0081318F" w:rsidRDefault="0081318F" w:rsidP="00CB1937">
            <w:pPr>
              <w:autoSpaceDE w:val="0"/>
              <w:autoSpaceDN w:val="0"/>
              <w:adjustRightInd w:val="0"/>
              <w:spacing w:after="120"/>
              <w:rPr>
                <w:rFonts w:ascii="Arial" w:hAnsi="Arial" w:cs="Arial"/>
                <w:b/>
                <w:bCs/>
                <w:sz w:val="20"/>
                <w:szCs w:val="16"/>
                <w:lang w:eastAsia="en-GB"/>
              </w:rPr>
            </w:pPr>
            <w:r w:rsidRPr="0081318F">
              <w:rPr>
                <w:rFonts w:ascii="Arial" w:hAnsi="Arial" w:cs="Arial"/>
                <w:b/>
                <w:bCs/>
                <w:sz w:val="20"/>
                <w:szCs w:val="16"/>
                <w:lang w:eastAsia="en-GB"/>
              </w:rPr>
              <w:t>Financial risk (RAG)</w:t>
            </w:r>
          </w:p>
        </w:tc>
      </w:tr>
      <w:tr w:rsidR="0081318F" w:rsidRPr="00DA0B88" w14:paraId="15F2F89E" w14:textId="67F78A40" w:rsidTr="0081318F">
        <w:tc>
          <w:tcPr>
            <w:tcW w:w="684" w:type="pct"/>
            <w:vMerge/>
          </w:tcPr>
          <w:p w14:paraId="293A5DBE" w14:textId="71E60544" w:rsidR="0081318F" w:rsidRPr="00505F19" w:rsidRDefault="0081318F" w:rsidP="00CB1937">
            <w:pPr>
              <w:autoSpaceDE w:val="0"/>
              <w:autoSpaceDN w:val="0"/>
              <w:adjustRightInd w:val="0"/>
              <w:spacing w:before="40" w:after="40"/>
              <w:rPr>
                <w:rFonts w:ascii="Arial" w:hAnsi="Arial" w:cs="Arial"/>
                <w:sz w:val="20"/>
                <w:lang w:eastAsia="en-GB"/>
              </w:rPr>
            </w:pPr>
          </w:p>
        </w:tc>
        <w:tc>
          <w:tcPr>
            <w:tcW w:w="1227" w:type="pct"/>
            <w:vMerge/>
          </w:tcPr>
          <w:p w14:paraId="50FE1749" w14:textId="77777777" w:rsidR="0081318F" w:rsidRDefault="0081318F" w:rsidP="00CB1937">
            <w:pPr>
              <w:autoSpaceDE w:val="0"/>
              <w:autoSpaceDN w:val="0"/>
              <w:adjustRightInd w:val="0"/>
              <w:spacing w:before="40" w:after="40"/>
              <w:rPr>
                <w:rFonts w:ascii="Arial" w:hAnsi="Arial" w:cs="Arial"/>
                <w:sz w:val="20"/>
                <w:lang w:eastAsia="en-GB"/>
              </w:rPr>
            </w:pPr>
          </w:p>
        </w:tc>
        <w:tc>
          <w:tcPr>
            <w:tcW w:w="378" w:type="pct"/>
            <w:vMerge/>
          </w:tcPr>
          <w:p w14:paraId="2F10E8D4" w14:textId="77777777" w:rsidR="0081318F" w:rsidRDefault="0081318F" w:rsidP="00CB1937">
            <w:pPr>
              <w:autoSpaceDE w:val="0"/>
              <w:autoSpaceDN w:val="0"/>
              <w:adjustRightInd w:val="0"/>
              <w:spacing w:before="40" w:after="40"/>
              <w:rPr>
                <w:rFonts w:ascii="Arial" w:hAnsi="Arial" w:cs="Arial"/>
                <w:sz w:val="20"/>
                <w:lang w:eastAsia="en-GB"/>
              </w:rPr>
            </w:pPr>
          </w:p>
        </w:tc>
        <w:tc>
          <w:tcPr>
            <w:tcW w:w="319" w:type="pct"/>
          </w:tcPr>
          <w:p w14:paraId="3F2AFBF2" w14:textId="06ACD26A" w:rsidR="0081318F" w:rsidRPr="00505F19" w:rsidRDefault="0081318F" w:rsidP="00CB1937">
            <w:pPr>
              <w:autoSpaceDE w:val="0"/>
              <w:autoSpaceDN w:val="0"/>
              <w:adjustRightInd w:val="0"/>
              <w:spacing w:before="40" w:after="40"/>
              <w:rPr>
                <w:rFonts w:ascii="Arial" w:hAnsi="Arial" w:cs="Arial"/>
                <w:sz w:val="20"/>
                <w:lang w:eastAsia="en-GB"/>
              </w:rPr>
            </w:pPr>
            <w:r>
              <w:rPr>
                <w:rFonts w:ascii="Arial" w:hAnsi="Arial" w:cs="Arial"/>
                <w:sz w:val="20"/>
                <w:lang w:eastAsia="en-GB"/>
              </w:rPr>
              <w:t>RAG</w:t>
            </w:r>
          </w:p>
        </w:tc>
        <w:tc>
          <w:tcPr>
            <w:tcW w:w="1906" w:type="pct"/>
          </w:tcPr>
          <w:p w14:paraId="6F10360C" w14:textId="4149CFA8" w:rsidR="0081318F" w:rsidRPr="00834FE4" w:rsidRDefault="0081318F" w:rsidP="00834FE4">
            <w:pPr>
              <w:autoSpaceDE w:val="0"/>
              <w:autoSpaceDN w:val="0"/>
              <w:adjustRightInd w:val="0"/>
              <w:spacing w:before="40" w:after="40"/>
              <w:rPr>
                <w:rFonts w:ascii="Arial" w:hAnsi="Arial" w:cs="Arial"/>
                <w:sz w:val="20"/>
                <w:lang w:eastAsia="en-GB"/>
              </w:rPr>
            </w:pPr>
            <w:r>
              <w:rPr>
                <w:rFonts w:ascii="Arial" w:hAnsi="Arial" w:cs="Arial"/>
                <w:sz w:val="20"/>
                <w:lang w:eastAsia="en-GB"/>
              </w:rPr>
              <w:t>Description</w:t>
            </w:r>
          </w:p>
        </w:tc>
        <w:tc>
          <w:tcPr>
            <w:tcW w:w="487" w:type="pct"/>
            <w:vMerge/>
          </w:tcPr>
          <w:p w14:paraId="1E7FAC7E" w14:textId="77777777" w:rsidR="0081318F" w:rsidRDefault="0081318F" w:rsidP="00834FE4">
            <w:pPr>
              <w:autoSpaceDE w:val="0"/>
              <w:autoSpaceDN w:val="0"/>
              <w:adjustRightInd w:val="0"/>
              <w:spacing w:before="40" w:after="40"/>
              <w:rPr>
                <w:rFonts w:ascii="Arial" w:hAnsi="Arial" w:cs="Arial"/>
                <w:sz w:val="20"/>
                <w:lang w:eastAsia="en-GB"/>
              </w:rPr>
            </w:pPr>
          </w:p>
        </w:tc>
      </w:tr>
      <w:tr w:rsidR="0081318F" w:rsidRPr="00DA0B88" w14:paraId="13E0B430" w14:textId="23091F30" w:rsidTr="00AC13F4">
        <w:tc>
          <w:tcPr>
            <w:tcW w:w="684" w:type="pct"/>
          </w:tcPr>
          <w:p w14:paraId="253875CE" w14:textId="026050EC" w:rsidR="0081318F" w:rsidRPr="00505F19" w:rsidRDefault="0081318F" w:rsidP="00E219CC">
            <w:pPr>
              <w:autoSpaceDE w:val="0"/>
              <w:autoSpaceDN w:val="0"/>
              <w:adjustRightInd w:val="0"/>
              <w:spacing w:before="40" w:after="40"/>
              <w:rPr>
                <w:rFonts w:ascii="Arial" w:hAnsi="Arial" w:cs="Arial"/>
                <w:sz w:val="20"/>
                <w:lang w:eastAsia="en-GB"/>
              </w:rPr>
            </w:pPr>
            <w:r w:rsidRPr="00834FE4">
              <w:rPr>
                <w:rFonts w:ascii="Arial" w:hAnsi="Arial" w:cs="Arial"/>
                <w:sz w:val="20"/>
                <w:lang w:eastAsia="en-GB"/>
              </w:rPr>
              <w:t>WLERL</w:t>
            </w:r>
            <w:r>
              <w:rPr>
                <w:rFonts w:ascii="Arial" w:hAnsi="Arial" w:cs="Arial"/>
                <w:sz w:val="20"/>
                <w:lang w:eastAsia="en-GB"/>
              </w:rPr>
              <w:t>, operated by Suez</w:t>
            </w:r>
          </w:p>
        </w:tc>
        <w:tc>
          <w:tcPr>
            <w:tcW w:w="1227" w:type="pct"/>
            <w:shd w:val="clear" w:color="auto" w:fill="auto"/>
          </w:tcPr>
          <w:p w14:paraId="1F6FCE97"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Residual waste</w:t>
            </w:r>
          </w:p>
          <w:p w14:paraId="505EA14D" w14:textId="1FAE592F"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300,000 tonnes/yr</w:t>
            </w:r>
          </w:p>
        </w:tc>
        <w:tc>
          <w:tcPr>
            <w:tcW w:w="378" w:type="pct"/>
            <w:shd w:val="clear" w:color="auto" w:fill="auto"/>
          </w:tcPr>
          <w:p w14:paraId="1CEA44D5" w14:textId="583D1D4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£35m</w:t>
            </w:r>
          </w:p>
        </w:tc>
        <w:tc>
          <w:tcPr>
            <w:tcW w:w="319" w:type="pct"/>
            <w:shd w:val="clear" w:color="auto" w:fill="70AD47" w:themeFill="accent6"/>
            <w:vAlign w:val="center"/>
          </w:tcPr>
          <w:p w14:paraId="020C205A" w14:textId="37BAA6FA" w:rsidR="0081318F" w:rsidRPr="00505F19" w:rsidRDefault="00AC13F4" w:rsidP="00834FE4">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5084BECD" w14:textId="609D8564" w:rsidR="0081318F" w:rsidRDefault="0081318F" w:rsidP="0074376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Good performance at SERC and </w:t>
            </w:r>
            <w:r w:rsidR="00056E43">
              <w:rPr>
                <w:rFonts w:ascii="Arial" w:hAnsi="Arial" w:cs="Arial"/>
                <w:sz w:val="20"/>
                <w:lang w:eastAsia="en-GB"/>
              </w:rPr>
              <w:t>the two rail linked</w:t>
            </w:r>
            <w:r>
              <w:rPr>
                <w:rFonts w:ascii="Arial" w:hAnsi="Arial" w:cs="Arial"/>
                <w:sz w:val="20"/>
                <w:lang w:eastAsia="en-GB"/>
              </w:rPr>
              <w:t xml:space="preserve"> transfer station</w:t>
            </w:r>
            <w:r w:rsidR="00056E43">
              <w:rPr>
                <w:rFonts w:ascii="Arial" w:hAnsi="Arial" w:cs="Arial"/>
                <w:sz w:val="20"/>
                <w:lang w:eastAsia="en-GB"/>
              </w:rPr>
              <w:t>s</w:t>
            </w:r>
            <w:r>
              <w:rPr>
                <w:rFonts w:ascii="Arial" w:hAnsi="Arial" w:cs="Arial"/>
                <w:sz w:val="20"/>
                <w:lang w:eastAsia="en-GB"/>
              </w:rPr>
              <w:t>.</w:t>
            </w:r>
          </w:p>
          <w:p w14:paraId="384EB673" w14:textId="5B8CF7FB" w:rsidR="0081318F" w:rsidRPr="0074376C" w:rsidRDefault="00695F15" w:rsidP="0074376C">
            <w:pPr>
              <w:autoSpaceDE w:val="0"/>
              <w:autoSpaceDN w:val="0"/>
              <w:adjustRightInd w:val="0"/>
              <w:spacing w:before="40" w:after="40"/>
              <w:rPr>
                <w:rFonts w:ascii="Arial" w:hAnsi="Arial" w:cs="Arial"/>
                <w:sz w:val="20"/>
                <w:lang w:eastAsia="en-GB"/>
              </w:rPr>
            </w:pPr>
            <w:r>
              <w:rPr>
                <w:rFonts w:ascii="Arial" w:hAnsi="Arial" w:cs="Arial"/>
                <w:sz w:val="20"/>
                <w:lang w:eastAsia="en-GB"/>
              </w:rPr>
              <w:t>Replacement of the cranes is scheduled to take place on 1 April.</w:t>
            </w:r>
          </w:p>
        </w:tc>
        <w:tc>
          <w:tcPr>
            <w:tcW w:w="487" w:type="pct"/>
            <w:shd w:val="clear" w:color="auto" w:fill="70AD47" w:themeFill="accent6"/>
            <w:vAlign w:val="center"/>
          </w:tcPr>
          <w:p w14:paraId="2FFE3DDE" w14:textId="4E1C7C1D" w:rsidR="0081318F"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70EF8815" w14:textId="479847C9" w:rsidTr="00AC13F4">
        <w:trPr>
          <w:trHeight w:val="382"/>
        </w:trPr>
        <w:tc>
          <w:tcPr>
            <w:tcW w:w="684" w:type="pct"/>
          </w:tcPr>
          <w:p w14:paraId="04C6D978"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Viridor (Lakeside)</w:t>
            </w:r>
          </w:p>
          <w:p w14:paraId="3684EA47" w14:textId="77840B70"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1E67AD37"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Residual waste</w:t>
            </w:r>
          </w:p>
          <w:p w14:paraId="2B5E7525" w14:textId="35859A99"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90,000 tonnes/yr</w:t>
            </w:r>
          </w:p>
        </w:tc>
        <w:tc>
          <w:tcPr>
            <w:tcW w:w="378" w:type="pct"/>
            <w:shd w:val="clear" w:color="auto" w:fill="auto"/>
          </w:tcPr>
          <w:p w14:paraId="02DCD4FA" w14:textId="4B25784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£14m</w:t>
            </w:r>
          </w:p>
        </w:tc>
        <w:tc>
          <w:tcPr>
            <w:tcW w:w="319" w:type="pct"/>
            <w:shd w:val="clear" w:color="auto" w:fill="70AD47" w:themeFill="accent6"/>
            <w:vAlign w:val="center"/>
          </w:tcPr>
          <w:p w14:paraId="241C6D47" w14:textId="43E8EDBF" w:rsidR="0081318F" w:rsidRPr="00505F19" w:rsidRDefault="00AC13F4"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7198FB35" w14:textId="5801763F" w:rsidR="0081318F" w:rsidRPr="00505F19"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The contract is operating well.</w:t>
            </w:r>
          </w:p>
        </w:tc>
        <w:tc>
          <w:tcPr>
            <w:tcW w:w="487" w:type="pct"/>
            <w:shd w:val="clear" w:color="auto" w:fill="FFC000" w:themeFill="accent4"/>
            <w:vAlign w:val="center"/>
          </w:tcPr>
          <w:p w14:paraId="3806D791" w14:textId="26D6B6EE" w:rsidR="0081318F"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A</w:t>
            </w:r>
          </w:p>
        </w:tc>
      </w:tr>
      <w:tr w:rsidR="0081318F" w:rsidRPr="00DA0B88" w14:paraId="567D6DDC" w14:textId="79889E94" w:rsidTr="0081318F">
        <w:tc>
          <w:tcPr>
            <w:tcW w:w="684" w:type="pct"/>
          </w:tcPr>
          <w:p w14:paraId="68CF0324"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BioCollectors</w:t>
            </w:r>
          </w:p>
          <w:p w14:paraId="3044928E" w14:textId="29F1BC50" w:rsidR="0081318F" w:rsidRPr="00EE742D"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78887DF5"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Food waste</w:t>
            </w:r>
          </w:p>
          <w:p w14:paraId="3E833E85" w14:textId="0C58C5AE"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All Boroughs’ food waste</w:t>
            </w:r>
          </w:p>
        </w:tc>
        <w:tc>
          <w:tcPr>
            <w:tcW w:w="378" w:type="pct"/>
            <w:shd w:val="clear" w:color="auto" w:fill="auto"/>
          </w:tcPr>
          <w:p w14:paraId="63F23A15" w14:textId="7C15EAB8"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£0.4m</w:t>
            </w:r>
          </w:p>
        </w:tc>
        <w:tc>
          <w:tcPr>
            <w:tcW w:w="319" w:type="pct"/>
            <w:shd w:val="clear" w:color="auto" w:fill="70AD47" w:themeFill="accent6"/>
            <w:vAlign w:val="center"/>
          </w:tcPr>
          <w:p w14:paraId="51B70E0D" w14:textId="6CE33842"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3F30B4E9" w14:textId="5163B3BA"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093889DB" w14:textId="737034A9"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56B44C43" w14:textId="590D5439" w:rsidTr="0081318F">
        <w:tc>
          <w:tcPr>
            <w:tcW w:w="684" w:type="pct"/>
          </w:tcPr>
          <w:p w14:paraId="606D6AE0" w14:textId="054833AF"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West London Composting</w:t>
            </w:r>
          </w:p>
          <w:p w14:paraId="24EC6E36" w14:textId="201D627B" w:rsidR="0081318F" w:rsidRPr="008A2059"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7A75B182" w14:textId="5D0D9B90" w:rsidR="0081318F" w:rsidRPr="00FB6860" w:rsidRDefault="0081318F" w:rsidP="00B219B2">
            <w:pPr>
              <w:autoSpaceDE w:val="0"/>
              <w:autoSpaceDN w:val="0"/>
              <w:adjustRightInd w:val="0"/>
              <w:spacing w:before="40" w:after="40"/>
              <w:rPr>
                <w:rFonts w:ascii="Arial" w:hAnsi="Arial" w:cs="Arial"/>
                <w:sz w:val="20"/>
                <w:lang w:val="de-DE" w:eastAsia="en-GB"/>
              </w:rPr>
            </w:pPr>
            <w:r w:rsidRPr="00FB6860">
              <w:rPr>
                <w:rFonts w:ascii="Arial" w:hAnsi="Arial" w:cs="Arial"/>
                <w:sz w:val="20"/>
                <w:lang w:val="de-DE" w:eastAsia="en-GB"/>
              </w:rPr>
              <w:t>Garden waste</w:t>
            </w:r>
          </w:p>
          <w:p w14:paraId="107FDA91" w14:textId="426479C7" w:rsidR="0081318F" w:rsidRPr="00FB6860" w:rsidRDefault="0081318F" w:rsidP="00B219B2">
            <w:pPr>
              <w:autoSpaceDE w:val="0"/>
              <w:autoSpaceDN w:val="0"/>
              <w:adjustRightInd w:val="0"/>
              <w:spacing w:before="40" w:after="40"/>
              <w:rPr>
                <w:rFonts w:ascii="Arial" w:hAnsi="Arial" w:cs="Arial"/>
                <w:sz w:val="20"/>
                <w:lang w:val="de-DE" w:eastAsia="en-GB"/>
              </w:rPr>
            </w:pPr>
            <w:r w:rsidRPr="00FB6860">
              <w:rPr>
                <w:rFonts w:ascii="Arial" w:hAnsi="Arial" w:cs="Arial"/>
                <w:sz w:val="20"/>
                <w:lang w:val="de-DE" w:eastAsia="en-GB"/>
              </w:rPr>
              <w:t>All Boroughs’ garden waste</w:t>
            </w:r>
          </w:p>
        </w:tc>
        <w:tc>
          <w:tcPr>
            <w:tcW w:w="378" w:type="pct"/>
            <w:shd w:val="clear" w:color="auto" w:fill="auto"/>
          </w:tcPr>
          <w:p w14:paraId="6584A659" w14:textId="0867655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£1.5m</w:t>
            </w:r>
          </w:p>
        </w:tc>
        <w:tc>
          <w:tcPr>
            <w:tcW w:w="319" w:type="pct"/>
            <w:shd w:val="clear" w:color="auto" w:fill="70AD47" w:themeFill="accent6"/>
            <w:vAlign w:val="center"/>
          </w:tcPr>
          <w:p w14:paraId="256A5DF4" w14:textId="5EAB1D01"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17129FE0" w14:textId="47BF5BC9"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6F64FB5A" w14:textId="39143018"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33616749" w14:textId="100B9413" w:rsidTr="0081318F">
        <w:tc>
          <w:tcPr>
            <w:tcW w:w="684" w:type="pct"/>
          </w:tcPr>
          <w:p w14:paraId="1D32A28F"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N+P</w:t>
            </w:r>
          </w:p>
          <w:p w14:paraId="5DDE98C1" w14:textId="2257D8C9"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068806C3"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Dry mixed recycling</w:t>
            </w:r>
          </w:p>
          <w:p w14:paraId="131434A2" w14:textId="67B2EC8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From Ealing and Brent</w:t>
            </w:r>
          </w:p>
        </w:tc>
        <w:tc>
          <w:tcPr>
            <w:tcW w:w="378" w:type="pct"/>
            <w:shd w:val="clear" w:color="auto" w:fill="auto"/>
          </w:tcPr>
          <w:p w14:paraId="56FA922B" w14:textId="40E32178"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£3m</w:t>
            </w:r>
          </w:p>
        </w:tc>
        <w:tc>
          <w:tcPr>
            <w:tcW w:w="319" w:type="pct"/>
            <w:shd w:val="clear" w:color="auto" w:fill="70AD47" w:themeFill="accent6"/>
            <w:vAlign w:val="center"/>
          </w:tcPr>
          <w:p w14:paraId="3F970BF7" w14:textId="2CEE8F42"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20B2D321" w14:textId="27DCE9F9" w:rsidR="0081318F" w:rsidRPr="00DF2103" w:rsidRDefault="0081318F" w:rsidP="00B219B2">
            <w:pPr>
              <w:autoSpaceDE w:val="0"/>
              <w:autoSpaceDN w:val="0"/>
              <w:adjustRightInd w:val="0"/>
              <w:spacing w:before="40" w:after="40"/>
              <w:rPr>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273C516E" w14:textId="56D0E18B"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4942C9BF" w14:textId="500CA919" w:rsidTr="0081318F">
        <w:tc>
          <w:tcPr>
            <w:tcW w:w="684" w:type="pct"/>
          </w:tcPr>
          <w:p w14:paraId="24DE3BB9" w14:textId="77777777"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Waste-a-Way Recycling</w:t>
            </w:r>
          </w:p>
          <w:p w14:paraId="4A0F40CF" w14:textId="17B75C73"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2807359E" w14:textId="65A8CC6D"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Transporting waste &amp; recyclables </w:t>
            </w:r>
            <w:r w:rsidRPr="00963F61">
              <w:rPr>
                <w:rFonts w:ascii="Arial" w:hAnsi="Arial" w:cs="Arial"/>
                <w:sz w:val="20"/>
                <w:lang w:eastAsia="en-GB"/>
              </w:rPr>
              <w:t>using bulk haulage vehicles</w:t>
            </w:r>
            <w:r>
              <w:rPr>
                <w:rFonts w:ascii="Arial" w:hAnsi="Arial" w:cs="Arial"/>
                <w:sz w:val="20"/>
                <w:lang w:eastAsia="en-GB"/>
              </w:rPr>
              <w:t>.</w:t>
            </w:r>
          </w:p>
        </w:tc>
        <w:tc>
          <w:tcPr>
            <w:tcW w:w="378" w:type="pct"/>
            <w:shd w:val="clear" w:color="auto" w:fill="auto"/>
          </w:tcPr>
          <w:p w14:paraId="07A380B2" w14:textId="59AC52D0"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£1m</w:t>
            </w:r>
          </w:p>
        </w:tc>
        <w:tc>
          <w:tcPr>
            <w:tcW w:w="319" w:type="pct"/>
            <w:shd w:val="clear" w:color="auto" w:fill="70AD47" w:themeFill="accent6"/>
            <w:vAlign w:val="center"/>
          </w:tcPr>
          <w:p w14:paraId="46362DCD" w14:textId="65C6687D"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2787E937" w14:textId="7BED0C74"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10C01082" w14:textId="3FE5AFDB"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r w:rsidR="0081318F" w:rsidRPr="00DA0B88" w14:paraId="1C27B01E" w14:textId="3345F856" w:rsidTr="0081318F">
        <w:tc>
          <w:tcPr>
            <w:tcW w:w="684" w:type="pct"/>
          </w:tcPr>
          <w:p w14:paraId="61D2281C" w14:textId="7196D64B"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lastRenderedPageBreak/>
              <w:t>Suez</w:t>
            </w:r>
          </w:p>
          <w:p w14:paraId="4C0300DD" w14:textId="19C91438" w:rsidR="0081318F" w:rsidRDefault="0081318F" w:rsidP="00B219B2">
            <w:pPr>
              <w:autoSpaceDE w:val="0"/>
              <w:autoSpaceDN w:val="0"/>
              <w:adjustRightInd w:val="0"/>
              <w:spacing w:before="40" w:after="40"/>
              <w:rPr>
                <w:rFonts w:ascii="Arial" w:hAnsi="Arial" w:cs="Arial"/>
                <w:sz w:val="20"/>
                <w:lang w:eastAsia="en-GB"/>
              </w:rPr>
            </w:pPr>
          </w:p>
        </w:tc>
        <w:tc>
          <w:tcPr>
            <w:tcW w:w="1227" w:type="pct"/>
            <w:shd w:val="clear" w:color="auto" w:fill="auto"/>
          </w:tcPr>
          <w:p w14:paraId="2BC1B9C5" w14:textId="3D24B035"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Transporting waste &amp; recyclables </w:t>
            </w:r>
            <w:r w:rsidRPr="00963F61">
              <w:rPr>
                <w:rFonts w:ascii="Arial" w:hAnsi="Arial" w:cs="Arial"/>
                <w:sz w:val="20"/>
                <w:lang w:eastAsia="en-GB"/>
              </w:rPr>
              <w:t xml:space="preserve">using </w:t>
            </w:r>
            <w:r>
              <w:rPr>
                <w:rFonts w:ascii="Arial" w:hAnsi="Arial" w:cs="Arial"/>
                <w:sz w:val="20"/>
                <w:lang w:eastAsia="en-GB"/>
              </w:rPr>
              <w:t>RoRo</w:t>
            </w:r>
            <w:r w:rsidRPr="00963F61">
              <w:rPr>
                <w:rFonts w:ascii="Arial" w:hAnsi="Arial" w:cs="Arial"/>
                <w:sz w:val="20"/>
                <w:lang w:eastAsia="en-GB"/>
              </w:rPr>
              <w:t xml:space="preserve"> vehicles</w:t>
            </w:r>
            <w:r>
              <w:rPr>
                <w:rFonts w:ascii="Arial" w:hAnsi="Arial" w:cs="Arial"/>
                <w:sz w:val="20"/>
                <w:lang w:eastAsia="en-GB"/>
              </w:rPr>
              <w:t>.</w:t>
            </w:r>
          </w:p>
        </w:tc>
        <w:tc>
          <w:tcPr>
            <w:tcW w:w="378" w:type="pct"/>
            <w:shd w:val="clear" w:color="auto" w:fill="auto"/>
          </w:tcPr>
          <w:p w14:paraId="03CAAA69" w14:textId="2DF48CC4" w:rsidR="0081318F" w:rsidRDefault="0081318F" w:rsidP="00B219B2">
            <w:pPr>
              <w:autoSpaceDE w:val="0"/>
              <w:autoSpaceDN w:val="0"/>
              <w:adjustRightInd w:val="0"/>
              <w:spacing w:before="40" w:after="40"/>
              <w:rPr>
                <w:rFonts w:ascii="Arial" w:hAnsi="Arial" w:cs="Arial"/>
                <w:sz w:val="20"/>
                <w:lang w:eastAsia="en-GB"/>
              </w:rPr>
            </w:pPr>
            <w:r>
              <w:rPr>
                <w:rFonts w:ascii="Arial" w:hAnsi="Arial" w:cs="Arial"/>
                <w:sz w:val="20"/>
                <w:lang w:eastAsia="en-GB"/>
              </w:rPr>
              <w:t>£0.5m</w:t>
            </w:r>
          </w:p>
        </w:tc>
        <w:tc>
          <w:tcPr>
            <w:tcW w:w="319" w:type="pct"/>
            <w:shd w:val="clear" w:color="auto" w:fill="70AD47" w:themeFill="accent6"/>
            <w:vAlign w:val="center"/>
          </w:tcPr>
          <w:p w14:paraId="2A44F32F" w14:textId="268CD4C1" w:rsidR="0081318F" w:rsidRDefault="0081318F" w:rsidP="00B219B2">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c>
          <w:tcPr>
            <w:tcW w:w="1906" w:type="pct"/>
          </w:tcPr>
          <w:p w14:paraId="3232094C" w14:textId="39345887" w:rsidR="0081318F" w:rsidRPr="00DF2103" w:rsidRDefault="0081318F" w:rsidP="00B219B2">
            <w:pPr>
              <w:autoSpaceDE w:val="0"/>
              <w:autoSpaceDN w:val="0"/>
              <w:adjustRightInd w:val="0"/>
              <w:spacing w:before="40" w:after="40"/>
              <w:rPr>
                <w:rFonts w:ascii="Arial" w:hAnsi="Arial" w:cs="Arial"/>
                <w:sz w:val="20"/>
                <w:lang w:eastAsia="en-GB"/>
              </w:rPr>
            </w:pPr>
            <w:r w:rsidRPr="00DF2103">
              <w:rPr>
                <w:rFonts w:ascii="Arial" w:hAnsi="Arial" w:cs="Arial"/>
                <w:sz w:val="20"/>
                <w:lang w:eastAsia="en-GB"/>
              </w:rPr>
              <w:t>The contract is operating well.</w:t>
            </w:r>
          </w:p>
        </w:tc>
        <w:tc>
          <w:tcPr>
            <w:tcW w:w="487" w:type="pct"/>
            <w:shd w:val="clear" w:color="auto" w:fill="70AD47" w:themeFill="accent6"/>
            <w:vAlign w:val="center"/>
          </w:tcPr>
          <w:p w14:paraId="1E54BC0F" w14:textId="3D4AC0B6" w:rsidR="0081318F" w:rsidRPr="00DF2103" w:rsidRDefault="0081318F" w:rsidP="0081318F">
            <w:pPr>
              <w:autoSpaceDE w:val="0"/>
              <w:autoSpaceDN w:val="0"/>
              <w:adjustRightInd w:val="0"/>
              <w:spacing w:before="40" w:after="40"/>
              <w:jc w:val="center"/>
              <w:rPr>
                <w:rFonts w:ascii="Arial" w:hAnsi="Arial" w:cs="Arial"/>
                <w:sz w:val="20"/>
                <w:lang w:eastAsia="en-GB"/>
              </w:rPr>
            </w:pPr>
            <w:r>
              <w:rPr>
                <w:rFonts w:ascii="Arial" w:hAnsi="Arial" w:cs="Arial"/>
                <w:sz w:val="20"/>
                <w:lang w:eastAsia="en-GB"/>
              </w:rPr>
              <w:t>G</w:t>
            </w:r>
          </w:p>
        </w:tc>
      </w:tr>
    </w:tbl>
    <w:p w14:paraId="029886B0" w14:textId="650844B9" w:rsidR="00B219B2" w:rsidRPr="00B219B2" w:rsidRDefault="0081318F" w:rsidP="00A70759">
      <w:pPr>
        <w:keepNext/>
        <w:autoSpaceDE w:val="0"/>
        <w:autoSpaceDN w:val="0"/>
        <w:adjustRightInd w:val="0"/>
        <w:spacing w:before="120"/>
        <w:ind w:left="170"/>
        <w:rPr>
          <w:rFonts w:ascii="Arial" w:hAnsi="Arial" w:cs="Arial"/>
          <w:u w:val="single"/>
          <w:lang w:eastAsia="en-GB"/>
        </w:rPr>
      </w:pPr>
      <w:r>
        <w:rPr>
          <w:rFonts w:ascii="Arial" w:hAnsi="Arial" w:cs="Arial"/>
          <w:u w:val="single"/>
          <w:lang w:eastAsia="en-GB"/>
        </w:rPr>
        <w:t>WLERL Operations</w:t>
      </w:r>
    </w:p>
    <w:p w14:paraId="00476D39" w14:textId="2A90C455" w:rsidR="00B219B2" w:rsidRDefault="00B219B2" w:rsidP="00B219B2">
      <w:pPr>
        <w:autoSpaceDE w:val="0"/>
        <w:autoSpaceDN w:val="0"/>
        <w:adjustRightInd w:val="0"/>
        <w:spacing w:before="120"/>
        <w:ind w:left="170"/>
        <w:rPr>
          <w:rFonts w:ascii="Arial" w:hAnsi="Arial" w:cs="Arial"/>
          <w:lang w:eastAsia="en-GB"/>
        </w:rPr>
      </w:pPr>
      <w:r w:rsidRPr="00B219B2">
        <w:rPr>
          <w:rFonts w:ascii="Arial" w:hAnsi="Arial" w:cs="Arial"/>
          <w:lang w:eastAsia="en-GB"/>
        </w:rPr>
        <w:t xml:space="preserve">Severnside Energy Recovery Centre (SERC) </w:t>
      </w:r>
      <w:r w:rsidR="00056E43">
        <w:rPr>
          <w:rFonts w:ascii="Arial" w:hAnsi="Arial" w:cs="Arial"/>
          <w:lang w:eastAsia="en-GB"/>
        </w:rPr>
        <w:t>and the two rail linked transfer stations at Brentford and Ruislip are operating well.</w:t>
      </w:r>
    </w:p>
    <w:p w14:paraId="5A12FFE6" w14:textId="46318FE5" w:rsidR="00CA4AD2" w:rsidRDefault="00CA4AD2" w:rsidP="00B219B2">
      <w:pPr>
        <w:autoSpaceDE w:val="0"/>
        <w:autoSpaceDN w:val="0"/>
        <w:adjustRightInd w:val="0"/>
        <w:spacing w:before="120"/>
        <w:ind w:left="170"/>
        <w:rPr>
          <w:rFonts w:ascii="Arial" w:hAnsi="Arial" w:cs="Arial"/>
          <w:lang w:eastAsia="en-GB"/>
        </w:rPr>
      </w:pPr>
      <w:r>
        <w:rPr>
          <w:rFonts w:ascii="Arial" w:hAnsi="Arial" w:cs="Arial"/>
          <w:lang w:eastAsia="en-GB"/>
        </w:rPr>
        <w:t xml:space="preserve">Site layout and process changes at Ruislip (Victoria Road) have seen on-site waiting times continue to stay low. A system is currently being setup to measure off-site queuing times using new Automatic Number Plate Recognition (ANPR) cameras on the access roads. Boroughs have been asked to provide their own queuing time data in the meantime.  </w:t>
      </w:r>
    </w:p>
    <w:p w14:paraId="22D6B12A" w14:textId="1209DB0C" w:rsidR="00596046" w:rsidRDefault="00CA4AD2" w:rsidP="00B219B2">
      <w:pPr>
        <w:autoSpaceDE w:val="0"/>
        <w:autoSpaceDN w:val="0"/>
        <w:adjustRightInd w:val="0"/>
        <w:spacing w:before="120"/>
        <w:ind w:left="170"/>
        <w:rPr>
          <w:rFonts w:ascii="Arial" w:hAnsi="Arial" w:cs="Arial"/>
          <w:lang w:eastAsia="en-GB"/>
        </w:rPr>
      </w:pPr>
      <w:r>
        <w:rPr>
          <w:rFonts w:ascii="Arial" w:hAnsi="Arial" w:cs="Arial"/>
          <w:lang w:eastAsia="en-GB"/>
        </w:rPr>
        <w:t xml:space="preserve">The replacement of the bunker cranes at Victoria Road </w:t>
      </w:r>
      <w:r w:rsidR="00FB1C02">
        <w:rPr>
          <w:rFonts w:ascii="Arial" w:hAnsi="Arial" w:cs="Arial"/>
          <w:lang w:eastAsia="en-GB"/>
        </w:rPr>
        <w:t>is due to start on 1 April and last for approximately 20 days. During this time, it will not be possible to load waste into the rail haulage containers via the compactors, so the layout of the site will be temporarily changed</w:t>
      </w:r>
      <w:r w:rsidR="00B35EF6">
        <w:rPr>
          <w:rFonts w:ascii="Arial" w:hAnsi="Arial" w:cs="Arial"/>
          <w:lang w:eastAsia="en-GB"/>
        </w:rPr>
        <w:t xml:space="preserve"> as below</w:t>
      </w:r>
      <w:r w:rsidR="00FB1C02">
        <w:rPr>
          <w:rFonts w:ascii="Arial" w:hAnsi="Arial" w:cs="Arial"/>
          <w:lang w:eastAsia="en-GB"/>
        </w:rPr>
        <w:t xml:space="preserve"> to allow it to function purely as a road transfer station. </w:t>
      </w:r>
    </w:p>
    <w:p w14:paraId="12A07633" w14:textId="4152A404" w:rsidR="00B35EF6" w:rsidRDefault="00B35EF6" w:rsidP="00B219B2">
      <w:pPr>
        <w:autoSpaceDE w:val="0"/>
        <w:autoSpaceDN w:val="0"/>
        <w:adjustRightInd w:val="0"/>
        <w:spacing w:before="120"/>
        <w:ind w:left="170"/>
        <w:rPr>
          <w:rFonts w:ascii="Arial" w:hAnsi="Arial" w:cs="Arial"/>
          <w:lang w:eastAsia="en-GB"/>
        </w:rPr>
      </w:pPr>
      <w:r w:rsidRPr="00B35EF6">
        <w:rPr>
          <w:rFonts w:ascii="Arial" w:hAnsi="Arial" w:cs="Arial"/>
          <w:noProof/>
          <w:lang w:eastAsia="en-GB"/>
        </w:rPr>
        <w:drawing>
          <wp:inline distT="0" distB="0" distL="0" distR="0" wp14:anchorId="1A6B0F89" wp14:editId="31A0FA85">
            <wp:extent cx="6646545" cy="2994025"/>
            <wp:effectExtent l="0" t="0" r="1905" b="0"/>
            <wp:docPr id="667345343" name="Picture 1" descr="A aerial view of a ware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345343" name="Picture 1" descr="A aerial view of a warehouse&#10;&#10;Description automatically generated"/>
                    <pic:cNvPicPr/>
                  </pic:nvPicPr>
                  <pic:blipFill>
                    <a:blip r:embed="rId11"/>
                    <a:stretch>
                      <a:fillRect/>
                    </a:stretch>
                  </pic:blipFill>
                  <pic:spPr>
                    <a:xfrm>
                      <a:off x="0" y="0"/>
                      <a:ext cx="6646545" cy="2994025"/>
                    </a:xfrm>
                    <a:prstGeom prst="rect">
                      <a:avLst/>
                    </a:prstGeom>
                  </pic:spPr>
                </pic:pic>
              </a:graphicData>
            </a:graphic>
          </wp:inline>
        </w:drawing>
      </w:r>
    </w:p>
    <w:p w14:paraId="20BB71F7" w14:textId="0073546E" w:rsidR="0096208D" w:rsidRDefault="00B35EF6" w:rsidP="00B219B2">
      <w:pPr>
        <w:autoSpaceDE w:val="0"/>
        <w:autoSpaceDN w:val="0"/>
        <w:adjustRightInd w:val="0"/>
        <w:spacing w:before="120"/>
        <w:ind w:left="170"/>
        <w:rPr>
          <w:rFonts w:ascii="Arial" w:hAnsi="Arial" w:cs="Arial"/>
          <w:lang w:eastAsia="en-GB"/>
        </w:rPr>
      </w:pPr>
      <w:r>
        <w:rPr>
          <w:rFonts w:ascii="Arial" w:hAnsi="Arial" w:cs="Arial"/>
          <w:lang w:eastAsia="en-GB"/>
        </w:rPr>
        <w:t xml:space="preserve">Waste inputs will be reduced with Ealing </w:t>
      </w:r>
      <w:r w:rsidR="00365942">
        <w:rPr>
          <w:rFonts w:ascii="Arial" w:hAnsi="Arial" w:cs="Arial"/>
          <w:lang w:eastAsia="en-GB"/>
        </w:rPr>
        <w:t>sending most of its waste</w:t>
      </w:r>
      <w:r>
        <w:rPr>
          <w:rFonts w:ascii="Arial" w:hAnsi="Arial" w:cs="Arial"/>
          <w:lang w:eastAsia="en-GB"/>
        </w:rPr>
        <w:t xml:space="preserve"> to Transport Avenue during this period</w:t>
      </w:r>
      <w:r w:rsidR="00365942">
        <w:rPr>
          <w:rFonts w:ascii="Arial" w:hAnsi="Arial" w:cs="Arial"/>
          <w:lang w:eastAsia="en-GB"/>
        </w:rPr>
        <w:t xml:space="preserve">, </w:t>
      </w:r>
      <w:r w:rsidR="003E71AF">
        <w:rPr>
          <w:rFonts w:ascii="Arial" w:hAnsi="Arial" w:cs="Arial"/>
          <w:lang w:eastAsia="en-GB"/>
        </w:rPr>
        <w:t xml:space="preserve">Hillingdon delivering </w:t>
      </w:r>
      <w:r w:rsidR="00365942">
        <w:rPr>
          <w:rFonts w:ascii="Arial" w:hAnsi="Arial" w:cs="Arial"/>
          <w:lang w:eastAsia="en-GB"/>
        </w:rPr>
        <w:t>most of its waste to Lakeside</w:t>
      </w:r>
      <w:r w:rsidR="003E71AF">
        <w:rPr>
          <w:rFonts w:ascii="Arial" w:hAnsi="Arial" w:cs="Arial"/>
          <w:lang w:eastAsia="en-GB"/>
        </w:rPr>
        <w:t xml:space="preserve">, </w:t>
      </w:r>
      <w:r>
        <w:rPr>
          <w:rFonts w:ascii="Arial" w:hAnsi="Arial" w:cs="Arial"/>
          <w:lang w:eastAsia="en-GB"/>
        </w:rPr>
        <w:t xml:space="preserve">and </w:t>
      </w:r>
      <w:r w:rsidR="00365942">
        <w:rPr>
          <w:rFonts w:ascii="Arial" w:hAnsi="Arial" w:cs="Arial"/>
          <w:lang w:eastAsia="en-GB"/>
        </w:rPr>
        <w:t>a larger proportion of</w:t>
      </w:r>
      <w:r>
        <w:rPr>
          <w:rFonts w:ascii="Arial" w:hAnsi="Arial" w:cs="Arial"/>
          <w:lang w:eastAsia="en-GB"/>
        </w:rPr>
        <w:t xml:space="preserve"> </w:t>
      </w:r>
      <w:r w:rsidR="0055266A">
        <w:rPr>
          <w:rFonts w:ascii="Arial" w:hAnsi="Arial" w:cs="Arial"/>
          <w:lang w:eastAsia="en-GB"/>
        </w:rPr>
        <w:t xml:space="preserve">bulky </w:t>
      </w:r>
      <w:r>
        <w:rPr>
          <w:rFonts w:ascii="Arial" w:hAnsi="Arial" w:cs="Arial"/>
          <w:lang w:eastAsia="en-GB"/>
        </w:rPr>
        <w:t>HRRC waste going to Transport Avenue.</w:t>
      </w:r>
      <w:r w:rsidR="000D26AB">
        <w:rPr>
          <w:rFonts w:ascii="Arial" w:hAnsi="Arial" w:cs="Arial"/>
          <w:lang w:eastAsia="en-GB"/>
        </w:rPr>
        <w:t xml:space="preserve"> </w:t>
      </w:r>
      <w:r w:rsidR="0096208D">
        <w:rPr>
          <w:rFonts w:ascii="Arial" w:hAnsi="Arial" w:cs="Arial"/>
          <w:lang w:eastAsia="en-GB"/>
        </w:rPr>
        <w:t>Some staff will be temporarily transferred from Victoria Road to Transport Avenue where a second shift will be run during this period of increased throughput.</w:t>
      </w:r>
      <w:r w:rsidR="000D26AB">
        <w:rPr>
          <w:rFonts w:ascii="Arial" w:hAnsi="Arial" w:cs="Arial"/>
          <w:lang w:eastAsia="en-GB"/>
        </w:rPr>
        <w:t xml:space="preserve"> Suez’s Hayes transfer station, which is now fully operational, will act as the main contingency site during the works</w:t>
      </w:r>
      <w:r w:rsidR="004C7695">
        <w:rPr>
          <w:rFonts w:ascii="Arial" w:hAnsi="Arial" w:cs="Arial"/>
          <w:lang w:eastAsia="en-GB"/>
        </w:rPr>
        <w:t>, with further alternative sites also lined up</w:t>
      </w:r>
      <w:r w:rsidR="000D26AB">
        <w:rPr>
          <w:rFonts w:ascii="Arial" w:hAnsi="Arial" w:cs="Arial"/>
          <w:lang w:eastAsia="en-GB"/>
        </w:rPr>
        <w:t>. Borough heads of service have been consulted on these plans.</w:t>
      </w:r>
    </w:p>
    <w:p w14:paraId="76BAF801" w14:textId="00EBE345" w:rsidR="00FB1C02" w:rsidRDefault="000D26AB" w:rsidP="00B219B2">
      <w:pPr>
        <w:autoSpaceDE w:val="0"/>
        <w:autoSpaceDN w:val="0"/>
        <w:adjustRightInd w:val="0"/>
        <w:spacing w:before="120"/>
        <w:ind w:left="170"/>
        <w:rPr>
          <w:rFonts w:ascii="Arial" w:hAnsi="Arial" w:cs="Arial"/>
          <w:lang w:eastAsia="en-GB"/>
        </w:rPr>
      </w:pPr>
      <w:r>
        <w:rPr>
          <w:rFonts w:ascii="Arial" w:hAnsi="Arial" w:cs="Arial"/>
          <w:lang w:eastAsia="en-GB"/>
        </w:rPr>
        <w:t xml:space="preserve">Fires continue to pose a major risk to the transfer stations, although the frequency of fires is currently low, which is normal for this time of year. A cross-Borough, cross-department task and finish group focusing on operational solutions to fires </w:t>
      </w:r>
      <w:r w:rsidR="00E10830">
        <w:rPr>
          <w:rFonts w:ascii="Arial" w:hAnsi="Arial" w:cs="Arial"/>
          <w:lang w:eastAsia="en-GB"/>
        </w:rPr>
        <w:t>has been established</w:t>
      </w:r>
      <w:r>
        <w:rPr>
          <w:rFonts w:ascii="Arial" w:hAnsi="Arial" w:cs="Arial"/>
          <w:lang w:eastAsia="en-GB"/>
        </w:rPr>
        <w:t xml:space="preserve"> to identify mitigations ahead of the peak-fire season of mid-spring to mid-autumn. </w:t>
      </w:r>
    </w:p>
    <w:p w14:paraId="7A9F5647" w14:textId="2120315C" w:rsidR="00CA0A73" w:rsidRDefault="00CA0A73" w:rsidP="00B219B2">
      <w:pPr>
        <w:autoSpaceDE w:val="0"/>
        <w:autoSpaceDN w:val="0"/>
        <w:adjustRightInd w:val="0"/>
        <w:spacing w:before="120"/>
        <w:ind w:left="170"/>
        <w:rPr>
          <w:rFonts w:ascii="Arial" w:hAnsi="Arial" w:cs="Arial"/>
          <w:lang w:eastAsia="en-GB"/>
        </w:rPr>
      </w:pPr>
      <w:r>
        <w:rPr>
          <w:rFonts w:ascii="Arial" w:hAnsi="Arial" w:cs="Arial"/>
          <w:lang w:eastAsia="en-GB"/>
        </w:rPr>
        <w:t>In order to reduce carbon, electric waste shredders are being trialled at the transfer stations.</w:t>
      </w:r>
    </w:p>
    <w:p w14:paraId="3D2F8E10" w14:textId="77777777" w:rsidR="00305E76" w:rsidRDefault="00305E76" w:rsidP="00B95DE0">
      <w:pPr>
        <w:autoSpaceDE w:val="0"/>
        <w:autoSpaceDN w:val="0"/>
        <w:adjustRightInd w:val="0"/>
        <w:spacing w:after="120"/>
        <w:ind w:left="170"/>
        <w:rPr>
          <w:rFonts w:ascii="Arial" w:hAnsi="Arial" w:cs="Arial"/>
          <w:szCs w:val="24"/>
          <w:u w:val="single"/>
          <w:lang w:eastAsia="en-GB"/>
        </w:rPr>
      </w:pPr>
    </w:p>
    <w:p w14:paraId="3251D593" w14:textId="7BB23977" w:rsidR="002D2EF3" w:rsidRPr="00380A1A" w:rsidRDefault="002D2EF3" w:rsidP="002D2EF3">
      <w:pPr>
        <w:keepNext/>
        <w:numPr>
          <w:ilvl w:val="0"/>
          <w:numId w:val="2"/>
        </w:numPr>
        <w:autoSpaceDE w:val="0"/>
        <w:autoSpaceDN w:val="0"/>
        <w:adjustRightInd w:val="0"/>
        <w:spacing w:after="120"/>
        <w:rPr>
          <w:rFonts w:ascii="Arial" w:hAnsi="Arial" w:cs="Arial"/>
          <w:b/>
          <w:szCs w:val="24"/>
          <w:lang w:eastAsia="en-GB"/>
        </w:rPr>
      </w:pPr>
      <w:bookmarkStart w:id="0" w:name="_Ref122689064"/>
      <w:r w:rsidRPr="00380A1A">
        <w:rPr>
          <w:rFonts w:ascii="Arial" w:hAnsi="Arial" w:cs="Arial"/>
          <w:b/>
          <w:szCs w:val="24"/>
          <w:lang w:eastAsia="en-GB"/>
        </w:rPr>
        <w:t xml:space="preserve">Procurements </w:t>
      </w:r>
    </w:p>
    <w:p w14:paraId="4EDDF096" w14:textId="45429099" w:rsidR="002364B1" w:rsidRDefault="00305E76" w:rsidP="0081318F">
      <w:pPr>
        <w:autoSpaceDE w:val="0"/>
        <w:autoSpaceDN w:val="0"/>
        <w:adjustRightInd w:val="0"/>
        <w:spacing w:before="120"/>
        <w:ind w:left="170"/>
        <w:rPr>
          <w:rFonts w:ascii="Arial" w:hAnsi="Arial" w:cs="Arial"/>
          <w:szCs w:val="24"/>
          <w:lang w:eastAsia="en-GB"/>
        </w:rPr>
      </w:pPr>
      <w:r>
        <w:rPr>
          <w:rFonts w:ascii="Arial" w:hAnsi="Arial" w:cs="Arial"/>
          <w:szCs w:val="24"/>
          <w:lang w:eastAsia="en-GB"/>
        </w:rPr>
        <w:t>New contracts have been awarded to:</w:t>
      </w:r>
    </w:p>
    <w:p w14:paraId="00F9BB4F" w14:textId="65C4D45D" w:rsidR="005A2A4A" w:rsidRPr="004C7695" w:rsidRDefault="00305E76" w:rsidP="004C7695">
      <w:pPr>
        <w:pStyle w:val="ListParagraph"/>
        <w:numPr>
          <w:ilvl w:val="0"/>
          <w:numId w:val="28"/>
        </w:numPr>
        <w:autoSpaceDE w:val="0"/>
        <w:autoSpaceDN w:val="0"/>
        <w:adjustRightInd w:val="0"/>
        <w:spacing w:before="120"/>
        <w:rPr>
          <w:sz w:val="24"/>
          <w:szCs w:val="24"/>
          <w:lang w:eastAsia="en-GB"/>
        </w:rPr>
      </w:pPr>
      <w:r>
        <w:rPr>
          <w:sz w:val="24"/>
          <w:szCs w:val="28"/>
          <w:lang w:eastAsia="en-GB"/>
        </w:rPr>
        <w:lastRenderedPageBreak/>
        <w:t xml:space="preserve">WasteCare – a producer compliance scheme which will collect and process waste electrical and electronic equipment from </w:t>
      </w:r>
      <w:r w:rsidR="004C7695">
        <w:rPr>
          <w:sz w:val="24"/>
          <w:szCs w:val="28"/>
          <w:lang w:eastAsia="en-GB"/>
        </w:rPr>
        <w:t>west London</w:t>
      </w:r>
      <w:r>
        <w:rPr>
          <w:sz w:val="24"/>
          <w:szCs w:val="28"/>
          <w:lang w:eastAsia="en-GB"/>
        </w:rPr>
        <w:t xml:space="preserve"> HRRCs/transfer stations. The contract is for </w:t>
      </w:r>
      <w:r w:rsidRPr="00386380">
        <w:rPr>
          <w:sz w:val="24"/>
          <w:szCs w:val="28"/>
          <w:lang w:eastAsia="en-GB"/>
        </w:rPr>
        <w:t>a three year term</w:t>
      </w:r>
      <w:r w:rsidR="00386380" w:rsidRPr="00386380">
        <w:rPr>
          <w:sz w:val="24"/>
          <w:szCs w:val="28"/>
          <w:lang w:eastAsia="en-GB"/>
        </w:rPr>
        <w:t xml:space="preserve"> (with the option to extend for two one-year periods)</w:t>
      </w:r>
      <w:r w:rsidRPr="00386380">
        <w:rPr>
          <w:sz w:val="24"/>
          <w:szCs w:val="28"/>
          <w:lang w:eastAsia="en-GB"/>
        </w:rPr>
        <w:t xml:space="preserve"> and will begin on 1 April 2024.</w:t>
      </w:r>
      <w:r>
        <w:rPr>
          <w:sz w:val="24"/>
          <w:szCs w:val="28"/>
          <w:lang w:eastAsia="en-GB"/>
        </w:rPr>
        <w:t xml:space="preserve"> WasteCare’s tender demonstrated a strong ability to meet our service requirements and increas</w:t>
      </w:r>
      <w:r w:rsidR="00283A39">
        <w:rPr>
          <w:sz w:val="24"/>
          <w:szCs w:val="28"/>
          <w:lang w:eastAsia="en-GB"/>
        </w:rPr>
        <w:t>e reuse of waste electricals.</w:t>
      </w:r>
    </w:p>
    <w:p w14:paraId="0CF479C9" w14:textId="77777777" w:rsidR="00243BBC" w:rsidRPr="00A434F8" w:rsidRDefault="00243BBC" w:rsidP="00243BBC">
      <w:pPr>
        <w:keepNext/>
        <w:numPr>
          <w:ilvl w:val="0"/>
          <w:numId w:val="2"/>
        </w:numPr>
        <w:autoSpaceDE w:val="0"/>
        <w:autoSpaceDN w:val="0"/>
        <w:adjustRightInd w:val="0"/>
        <w:spacing w:after="120"/>
        <w:rPr>
          <w:rFonts w:ascii="Arial" w:hAnsi="Arial" w:cs="Arial"/>
          <w:b/>
          <w:bCs/>
          <w:szCs w:val="24"/>
          <w:lang w:eastAsia="en-GB"/>
        </w:rPr>
      </w:pPr>
      <w:r w:rsidRPr="00A434F8">
        <w:rPr>
          <w:rFonts w:ascii="Arial" w:hAnsi="Arial" w:cs="Arial"/>
          <w:b/>
          <w:bCs/>
          <w:szCs w:val="24"/>
          <w:lang w:eastAsia="en-GB"/>
        </w:rPr>
        <w:t>Abbey Road HRRC and Waste Transfer Station (WTS)</w:t>
      </w:r>
    </w:p>
    <w:p w14:paraId="19F0D6A2" w14:textId="77777777" w:rsidR="00243BBC" w:rsidRDefault="00243BBC" w:rsidP="00243BBC">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 is managed by WLWA, and the HRRC is run on behalf of Brent Council.</w:t>
      </w:r>
    </w:p>
    <w:p w14:paraId="4D7A8081" w14:textId="705F34A5" w:rsidR="00243BBC" w:rsidRDefault="00243BBC" w:rsidP="00243BBC">
      <w:pPr>
        <w:autoSpaceDE w:val="0"/>
        <w:autoSpaceDN w:val="0"/>
        <w:adjustRightInd w:val="0"/>
        <w:spacing w:after="120"/>
        <w:ind w:left="170"/>
        <w:rPr>
          <w:rFonts w:ascii="Arial" w:hAnsi="Arial" w:cs="Arial"/>
          <w:szCs w:val="24"/>
          <w:lang w:eastAsia="en-GB"/>
        </w:rPr>
      </w:pPr>
      <w:bookmarkStart w:id="1" w:name="_Hlk122604774"/>
      <w:r>
        <w:rPr>
          <w:rFonts w:ascii="Arial" w:hAnsi="Arial" w:cs="Arial"/>
          <w:szCs w:val="24"/>
          <w:lang w:eastAsia="en-GB"/>
        </w:rPr>
        <w:t xml:space="preserve">The HRRC </w:t>
      </w:r>
      <w:r w:rsidR="002D3F72">
        <w:rPr>
          <w:rFonts w:ascii="Arial" w:hAnsi="Arial" w:cs="Arial"/>
          <w:szCs w:val="24"/>
          <w:lang w:eastAsia="en-GB"/>
        </w:rPr>
        <w:t>continues to deliver a high</w:t>
      </w:r>
      <w:r>
        <w:rPr>
          <w:rFonts w:ascii="Arial" w:hAnsi="Arial" w:cs="Arial"/>
          <w:szCs w:val="24"/>
          <w:lang w:eastAsia="en-GB"/>
        </w:rPr>
        <w:t xml:space="preserve"> diversion (from residual waste) rate of </w:t>
      </w:r>
      <w:r w:rsidRPr="00DA1F2D">
        <w:rPr>
          <w:rFonts w:ascii="Arial" w:hAnsi="Arial" w:cs="Arial"/>
          <w:szCs w:val="24"/>
          <w:lang w:eastAsia="en-GB"/>
        </w:rPr>
        <w:t>78%</w:t>
      </w:r>
      <w:r>
        <w:rPr>
          <w:rFonts w:ascii="Arial" w:hAnsi="Arial" w:cs="Arial"/>
          <w:szCs w:val="24"/>
          <w:lang w:eastAsia="en-GB"/>
        </w:rPr>
        <w:t xml:space="preserve">, </w:t>
      </w:r>
      <w:r w:rsidR="002D3F72">
        <w:rPr>
          <w:rFonts w:ascii="Arial" w:hAnsi="Arial" w:cs="Arial"/>
          <w:szCs w:val="24"/>
          <w:lang w:eastAsia="en-GB"/>
        </w:rPr>
        <w:t xml:space="preserve">and strong budget position (see Section </w:t>
      </w:r>
      <w:r w:rsidR="002D3F72">
        <w:rPr>
          <w:rFonts w:ascii="Arial" w:hAnsi="Arial" w:cs="Arial"/>
          <w:szCs w:val="24"/>
          <w:lang w:eastAsia="en-GB"/>
        </w:rPr>
        <w:fldChar w:fldCharType="begin"/>
      </w:r>
      <w:r w:rsidR="002D3F72">
        <w:rPr>
          <w:rFonts w:ascii="Arial" w:hAnsi="Arial" w:cs="Arial"/>
          <w:szCs w:val="24"/>
          <w:lang w:eastAsia="en-GB"/>
        </w:rPr>
        <w:instrText xml:space="preserve"> REF _Ref160440494 \w \h </w:instrText>
      </w:r>
      <w:r w:rsidR="002D3F72">
        <w:rPr>
          <w:rFonts w:ascii="Arial" w:hAnsi="Arial" w:cs="Arial"/>
          <w:szCs w:val="24"/>
          <w:lang w:eastAsia="en-GB"/>
        </w:rPr>
      </w:r>
      <w:r w:rsidR="002D3F72">
        <w:rPr>
          <w:rFonts w:ascii="Arial" w:hAnsi="Arial" w:cs="Arial"/>
          <w:szCs w:val="24"/>
          <w:lang w:eastAsia="en-GB"/>
        </w:rPr>
        <w:fldChar w:fldCharType="separate"/>
      </w:r>
      <w:r w:rsidR="002D3F72">
        <w:rPr>
          <w:rFonts w:ascii="Arial" w:hAnsi="Arial" w:cs="Arial"/>
          <w:szCs w:val="24"/>
          <w:lang w:eastAsia="en-GB"/>
        </w:rPr>
        <w:t>7</w:t>
      </w:r>
      <w:r w:rsidR="002D3F72">
        <w:rPr>
          <w:rFonts w:ascii="Arial" w:hAnsi="Arial" w:cs="Arial"/>
          <w:szCs w:val="24"/>
          <w:lang w:eastAsia="en-GB"/>
        </w:rPr>
        <w:fldChar w:fldCharType="end"/>
      </w:r>
      <w:r w:rsidR="002D3F72">
        <w:rPr>
          <w:rFonts w:ascii="Arial" w:hAnsi="Arial" w:cs="Arial"/>
          <w:szCs w:val="24"/>
          <w:lang w:eastAsia="en-GB"/>
        </w:rPr>
        <w:t xml:space="preserve">). </w:t>
      </w:r>
      <w:r>
        <w:rPr>
          <w:rFonts w:ascii="Arial" w:hAnsi="Arial" w:cs="Arial"/>
          <w:szCs w:val="24"/>
          <w:lang w:eastAsia="en-GB"/>
        </w:rPr>
        <w:t>The WTS continues to operate well with the additional street cleansing waste delivered by Brent Council. This arrangement is saving Brent over £100,000 a year in waste transfer costs.</w:t>
      </w:r>
    </w:p>
    <w:p w14:paraId="61D45FC5" w14:textId="7AB40693" w:rsidR="002D3F72" w:rsidRDefault="004C7695" w:rsidP="00243BBC">
      <w:pPr>
        <w:autoSpaceDE w:val="0"/>
        <w:autoSpaceDN w:val="0"/>
        <w:adjustRightInd w:val="0"/>
        <w:spacing w:after="120"/>
        <w:ind w:left="170"/>
        <w:rPr>
          <w:rFonts w:ascii="Arial" w:hAnsi="Arial" w:cs="Arial"/>
          <w:szCs w:val="24"/>
          <w:lang w:eastAsia="en-GB"/>
        </w:rPr>
      </w:pPr>
      <w:r>
        <w:rPr>
          <w:rFonts w:ascii="Arial" w:hAnsi="Arial" w:cs="Arial"/>
          <w:szCs w:val="24"/>
          <w:lang w:eastAsia="en-GB"/>
        </w:rPr>
        <w:t>Site staff have observed c</w:t>
      </w:r>
      <w:r w:rsidR="00692914">
        <w:rPr>
          <w:rFonts w:ascii="Arial" w:hAnsi="Arial" w:cs="Arial"/>
          <w:szCs w:val="24"/>
          <w:lang w:eastAsia="en-GB"/>
        </w:rPr>
        <w:t xml:space="preserve">racks in a section of the waste transfer station’s concrete structure and initial investigations led to the cessation of activities on and below this </w:t>
      </w:r>
      <w:r>
        <w:rPr>
          <w:rFonts w:ascii="Arial" w:hAnsi="Arial" w:cs="Arial"/>
          <w:szCs w:val="24"/>
          <w:lang w:eastAsia="en-GB"/>
        </w:rPr>
        <w:t>area</w:t>
      </w:r>
      <w:r w:rsidR="00692914">
        <w:rPr>
          <w:rFonts w:ascii="Arial" w:hAnsi="Arial" w:cs="Arial"/>
          <w:szCs w:val="24"/>
          <w:lang w:eastAsia="en-GB"/>
        </w:rPr>
        <w:t>. Detailed investigations are now taking place and temporary operational arrangements are underway.</w:t>
      </w:r>
      <w:r>
        <w:rPr>
          <w:rFonts w:ascii="Arial" w:hAnsi="Arial" w:cs="Arial"/>
          <w:szCs w:val="24"/>
          <w:lang w:eastAsia="en-GB"/>
        </w:rPr>
        <w:t xml:space="preserve"> Most of the transfer station remains open and operational as normal.</w:t>
      </w:r>
      <w:r w:rsidR="00692914">
        <w:rPr>
          <w:rFonts w:ascii="Arial" w:hAnsi="Arial" w:cs="Arial"/>
          <w:szCs w:val="24"/>
          <w:lang w:eastAsia="en-GB"/>
        </w:rPr>
        <w:t xml:space="preserve"> </w:t>
      </w:r>
    </w:p>
    <w:bookmarkEnd w:id="1"/>
    <w:p w14:paraId="6FA0A209" w14:textId="77777777" w:rsidR="00243BBC" w:rsidRPr="00F71D53" w:rsidRDefault="00243BBC" w:rsidP="00243BBC">
      <w:pPr>
        <w:keepNext/>
        <w:numPr>
          <w:ilvl w:val="0"/>
          <w:numId w:val="2"/>
        </w:numPr>
        <w:autoSpaceDE w:val="0"/>
        <w:autoSpaceDN w:val="0"/>
        <w:adjustRightInd w:val="0"/>
        <w:spacing w:after="120"/>
        <w:rPr>
          <w:rFonts w:ascii="Arial" w:hAnsi="Arial" w:cs="Arial"/>
          <w:b/>
          <w:bCs/>
          <w:szCs w:val="24"/>
          <w:lang w:eastAsia="en-GB"/>
        </w:rPr>
      </w:pPr>
      <w:r w:rsidRPr="00F71D53">
        <w:rPr>
          <w:rFonts w:ascii="Arial" w:hAnsi="Arial" w:cs="Arial"/>
          <w:b/>
          <w:bCs/>
          <w:szCs w:val="24"/>
          <w:lang w:eastAsia="en-GB"/>
        </w:rPr>
        <w:t>Richmond’s sites: Townmead Road HRRC/WTS and Central Depot</w:t>
      </w:r>
    </w:p>
    <w:p w14:paraId="007536EC" w14:textId="25C51EB7" w:rsidR="00243BBC" w:rsidRDefault="00243BBC" w:rsidP="00243BBC">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currently provides waste operations </w:t>
      </w:r>
      <w:r w:rsidR="004C7695">
        <w:rPr>
          <w:rFonts w:ascii="Arial" w:hAnsi="Arial" w:cs="Arial"/>
          <w:szCs w:val="24"/>
          <w:lang w:eastAsia="en-GB"/>
        </w:rPr>
        <w:t>oversight</w:t>
      </w:r>
      <w:r>
        <w:rPr>
          <w:rFonts w:ascii="Arial" w:hAnsi="Arial" w:cs="Arial"/>
          <w:szCs w:val="24"/>
          <w:lang w:eastAsia="en-GB"/>
        </w:rPr>
        <w:t xml:space="preserve"> at Richmond’s two waste sites. </w:t>
      </w:r>
    </w:p>
    <w:p w14:paraId="2BC8B4C2" w14:textId="4C2840D9" w:rsidR="00243BBC" w:rsidRDefault="0011243B" w:rsidP="00243BBC">
      <w:pPr>
        <w:autoSpaceDE w:val="0"/>
        <w:autoSpaceDN w:val="0"/>
        <w:adjustRightInd w:val="0"/>
        <w:spacing w:after="120"/>
        <w:ind w:left="170"/>
        <w:rPr>
          <w:rFonts w:ascii="Arial" w:hAnsi="Arial" w:cs="Arial"/>
          <w:szCs w:val="24"/>
          <w:lang w:eastAsia="en-GB"/>
        </w:rPr>
      </w:pPr>
      <w:r w:rsidRPr="0011243B">
        <w:rPr>
          <w:rFonts w:ascii="Arial" w:hAnsi="Arial" w:cs="Arial"/>
          <w:szCs w:val="24"/>
          <w:lang w:eastAsia="en-GB"/>
        </w:rPr>
        <w:t>A health and safety</w:t>
      </w:r>
      <w:r w:rsidR="00243BBC" w:rsidRPr="0011243B">
        <w:rPr>
          <w:rFonts w:ascii="Arial" w:hAnsi="Arial" w:cs="Arial"/>
          <w:szCs w:val="24"/>
          <w:lang w:eastAsia="en-GB"/>
        </w:rPr>
        <w:t xml:space="preserve"> incident </w:t>
      </w:r>
      <w:r>
        <w:rPr>
          <w:rFonts w:ascii="Arial" w:hAnsi="Arial" w:cs="Arial"/>
          <w:szCs w:val="24"/>
          <w:lang w:eastAsia="en-GB"/>
        </w:rPr>
        <w:t xml:space="preserve">occurred at Central Depot, where an operative’s foot was run over by mobile plant. The operative was uninjured and the incident was reported to LBRuT </w:t>
      </w:r>
      <w:r w:rsidR="00673155">
        <w:rPr>
          <w:rFonts w:ascii="Arial" w:hAnsi="Arial" w:cs="Arial"/>
          <w:szCs w:val="24"/>
          <w:lang w:eastAsia="en-GB"/>
        </w:rPr>
        <w:t>officers</w:t>
      </w:r>
      <w:r>
        <w:rPr>
          <w:rFonts w:ascii="Arial" w:hAnsi="Arial" w:cs="Arial"/>
          <w:szCs w:val="24"/>
          <w:lang w:eastAsia="en-GB"/>
        </w:rPr>
        <w:t xml:space="preserve">. </w:t>
      </w:r>
    </w:p>
    <w:p w14:paraId="4DCB32B8" w14:textId="77777777" w:rsidR="00243BBC" w:rsidRDefault="00243BBC" w:rsidP="00243BBC">
      <w:pPr>
        <w:autoSpaceDE w:val="0"/>
        <w:autoSpaceDN w:val="0"/>
        <w:adjustRightInd w:val="0"/>
        <w:spacing w:after="120"/>
        <w:ind w:left="170"/>
        <w:rPr>
          <w:rFonts w:ascii="Arial" w:hAnsi="Arial" w:cs="Arial"/>
          <w:szCs w:val="24"/>
          <w:lang w:eastAsia="en-GB"/>
        </w:rPr>
      </w:pPr>
      <w:r>
        <w:rPr>
          <w:rFonts w:ascii="Arial" w:hAnsi="Arial" w:cs="Arial"/>
          <w:szCs w:val="24"/>
          <w:lang w:eastAsia="en-GB"/>
        </w:rPr>
        <w:t>A Service Level Agreement (SLA) for the on-going operational management of the sites is nearing completion.</w:t>
      </w:r>
    </w:p>
    <w:p w14:paraId="0765A3B0" w14:textId="77777777" w:rsidR="00243BBC" w:rsidRPr="00734531" w:rsidRDefault="00243BBC" w:rsidP="00243BBC">
      <w:pPr>
        <w:keepNext/>
        <w:numPr>
          <w:ilvl w:val="0"/>
          <w:numId w:val="2"/>
        </w:numPr>
        <w:autoSpaceDE w:val="0"/>
        <w:autoSpaceDN w:val="0"/>
        <w:adjustRightInd w:val="0"/>
        <w:spacing w:after="120"/>
        <w:rPr>
          <w:rFonts w:ascii="Arial" w:hAnsi="Arial" w:cs="Arial"/>
          <w:b/>
          <w:bCs/>
          <w:szCs w:val="24"/>
          <w:lang w:eastAsia="en-GB"/>
        </w:rPr>
      </w:pPr>
      <w:bookmarkStart w:id="2" w:name="_Ref129078716"/>
      <w:r w:rsidRPr="00734531">
        <w:rPr>
          <w:rFonts w:ascii="Arial" w:hAnsi="Arial" w:cs="Arial"/>
          <w:b/>
          <w:bCs/>
          <w:szCs w:val="24"/>
          <w:lang w:eastAsia="en-GB"/>
        </w:rPr>
        <w:t>Operations Manager</w:t>
      </w:r>
      <w:bookmarkEnd w:id="2"/>
    </w:p>
    <w:p w14:paraId="5E40F7D9" w14:textId="3922433E" w:rsidR="00243BBC" w:rsidRDefault="00243BBC" w:rsidP="00243BBC">
      <w:pPr>
        <w:autoSpaceDE w:val="0"/>
        <w:autoSpaceDN w:val="0"/>
        <w:adjustRightInd w:val="0"/>
        <w:spacing w:after="120"/>
        <w:ind w:left="170"/>
        <w:rPr>
          <w:rFonts w:ascii="Arial" w:hAnsi="Arial" w:cs="Arial"/>
          <w:b/>
          <w:bCs/>
          <w:szCs w:val="24"/>
          <w:lang w:eastAsia="en-GB"/>
        </w:rPr>
      </w:pPr>
      <w:r>
        <w:rPr>
          <w:rFonts w:ascii="Arial" w:hAnsi="Arial" w:cs="Arial"/>
          <w:szCs w:val="24"/>
          <w:lang w:eastAsia="en-GB"/>
        </w:rPr>
        <w:t>A new permanent Operations Manager has started, following nine months of interim cover. The new Operations Manager will deliver H&amp;S best practice and cost and carbon savings for Boroughs by placing renewed focus on developing key cross-Borough stakeholder groups, supporting the delivery of improvements at HRRCs, and increasing the efficiency of the Authority’s waste flows.</w:t>
      </w:r>
    </w:p>
    <w:p w14:paraId="3A35D21B" w14:textId="0416156F" w:rsidR="00B35481" w:rsidRDefault="00B35481" w:rsidP="00AD3605">
      <w:pPr>
        <w:keepNext/>
        <w:numPr>
          <w:ilvl w:val="0"/>
          <w:numId w:val="2"/>
        </w:numPr>
        <w:autoSpaceDE w:val="0"/>
        <w:autoSpaceDN w:val="0"/>
        <w:adjustRightInd w:val="0"/>
        <w:spacing w:after="120"/>
        <w:rPr>
          <w:rFonts w:ascii="Arial" w:hAnsi="Arial" w:cs="Arial"/>
          <w:b/>
          <w:bCs/>
          <w:szCs w:val="24"/>
          <w:lang w:eastAsia="en-GB"/>
        </w:rPr>
      </w:pPr>
      <w:bookmarkStart w:id="3" w:name="_Ref160440494"/>
      <w:r>
        <w:rPr>
          <w:rFonts w:ascii="Arial" w:hAnsi="Arial" w:cs="Arial"/>
          <w:b/>
          <w:bCs/>
          <w:szCs w:val="24"/>
          <w:lang w:eastAsia="en-GB"/>
        </w:rPr>
        <w:t>HRRC improvement programme</w:t>
      </w:r>
      <w:bookmarkEnd w:id="3"/>
    </w:p>
    <w:p w14:paraId="1211C567" w14:textId="77777777" w:rsidR="00DD6E12" w:rsidRDefault="00B35481"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In the </w:t>
      </w:r>
      <w:r w:rsidR="00DD6E12">
        <w:rPr>
          <w:rFonts w:ascii="Arial" w:hAnsi="Arial" w:cs="Arial"/>
          <w:szCs w:val="24"/>
          <w:lang w:eastAsia="en-GB"/>
        </w:rPr>
        <w:t>2022/23</w:t>
      </w:r>
      <w:r>
        <w:rPr>
          <w:rFonts w:ascii="Arial" w:hAnsi="Arial" w:cs="Arial"/>
          <w:szCs w:val="24"/>
          <w:lang w:eastAsia="en-GB"/>
        </w:rPr>
        <w:t xml:space="preserve"> budget, £200,000 per Borough</w:t>
      </w:r>
      <w:r w:rsidR="00DD6E12">
        <w:rPr>
          <w:rFonts w:ascii="Arial" w:hAnsi="Arial" w:cs="Arial"/>
          <w:szCs w:val="24"/>
          <w:lang w:eastAsia="en-GB"/>
        </w:rPr>
        <w:t xml:space="preserve"> (£1.2m total)</w:t>
      </w:r>
      <w:r>
        <w:rPr>
          <w:rFonts w:ascii="Arial" w:hAnsi="Arial" w:cs="Arial"/>
          <w:szCs w:val="24"/>
          <w:lang w:eastAsia="en-GB"/>
        </w:rPr>
        <w:t xml:space="preserve"> was set-aside for Boroughs to deliver improvements at HRRCs. </w:t>
      </w:r>
      <w:r w:rsidR="00DD6E12">
        <w:rPr>
          <w:rFonts w:ascii="Arial" w:hAnsi="Arial" w:cs="Arial"/>
          <w:szCs w:val="24"/>
          <w:lang w:eastAsia="en-GB"/>
        </w:rPr>
        <w:t xml:space="preserve">Boroughs with a diversion performance of 40% or greater were permitted to spend the money as they chose as long as the improvements delivered against Environment and Director priorities for HRRCs. Boroughs performing below 40% needed to ensure that 40% was exceeded by the end of the year in order to retain the funds. </w:t>
      </w:r>
    </w:p>
    <w:p w14:paraId="3D86CFBB" w14:textId="7290F7FE" w:rsidR="00B35481" w:rsidRDefault="00DD6E12" w:rsidP="00235D57">
      <w:pPr>
        <w:autoSpaceDE w:val="0"/>
        <w:autoSpaceDN w:val="0"/>
        <w:adjustRightInd w:val="0"/>
        <w:spacing w:after="120"/>
        <w:ind w:left="170"/>
        <w:rPr>
          <w:rFonts w:ascii="Arial" w:hAnsi="Arial" w:cs="Arial"/>
          <w:szCs w:val="24"/>
          <w:lang w:eastAsia="en-GB"/>
        </w:rPr>
      </w:pPr>
      <w:r>
        <w:rPr>
          <w:rFonts w:ascii="Arial" w:hAnsi="Arial" w:cs="Arial"/>
          <w:szCs w:val="24"/>
          <w:lang w:eastAsia="en-GB"/>
        </w:rPr>
        <w:t>£</w:t>
      </w:r>
      <w:r w:rsidR="00235D57">
        <w:rPr>
          <w:rFonts w:ascii="Arial" w:hAnsi="Arial" w:cs="Arial"/>
          <w:szCs w:val="24"/>
          <w:lang w:eastAsia="en-GB"/>
        </w:rPr>
        <w:t>0.</w:t>
      </w:r>
      <w:r w:rsidR="00483160">
        <w:rPr>
          <w:rFonts w:ascii="Arial" w:hAnsi="Arial" w:cs="Arial"/>
          <w:szCs w:val="24"/>
          <w:lang w:eastAsia="en-GB"/>
        </w:rPr>
        <w:t>94</w:t>
      </w:r>
      <w:r>
        <w:rPr>
          <w:rFonts w:ascii="Arial" w:hAnsi="Arial" w:cs="Arial"/>
          <w:szCs w:val="24"/>
          <w:lang w:eastAsia="en-GB"/>
        </w:rPr>
        <w:t>m was unspent at the end of 2022/23, and it was agreed that this could be rolled over to 2023/24 subject to new performance targets</w:t>
      </w:r>
      <w:r w:rsidR="004C7695">
        <w:rPr>
          <w:rFonts w:ascii="Arial" w:hAnsi="Arial" w:cs="Arial"/>
          <w:szCs w:val="24"/>
          <w:lang w:eastAsia="en-GB"/>
        </w:rPr>
        <w:t xml:space="preserve"> and a</w:t>
      </w:r>
      <w:r>
        <w:rPr>
          <w:rFonts w:ascii="Arial" w:hAnsi="Arial" w:cs="Arial"/>
          <w:szCs w:val="24"/>
          <w:lang w:eastAsia="en-GB"/>
        </w:rPr>
        <w:t xml:space="preserve"> 50% diversion</w:t>
      </w:r>
      <w:r w:rsidR="00927C14">
        <w:rPr>
          <w:rFonts w:ascii="Arial" w:hAnsi="Arial" w:cs="Arial"/>
          <w:szCs w:val="24"/>
          <w:lang w:eastAsia="en-GB"/>
        </w:rPr>
        <w:t xml:space="preserve"> target</w:t>
      </w:r>
      <w:r>
        <w:rPr>
          <w:rFonts w:ascii="Arial" w:hAnsi="Arial" w:cs="Arial"/>
          <w:szCs w:val="24"/>
          <w:lang w:eastAsia="en-GB"/>
        </w:rPr>
        <w:t xml:space="preserve"> </w:t>
      </w:r>
      <w:r w:rsidR="00927C14">
        <w:rPr>
          <w:rFonts w:ascii="Arial" w:hAnsi="Arial" w:cs="Arial"/>
          <w:szCs w:val="24"/>
          <w:lang w:eastAsia="en-GB"/>
        </w:rPr>
        <w:t>was set by Environment Directors.</w:t>
      </w:r>
      <w:r>
        <w:rPr>
          <w:rFonts w:ascii="Arial" w:hAnsi="Arial" w:cs="Arial"/>
          <w:szCs w:val="24"/>
          <w:lang w:eastAsia="en-GB"/>
        </w:rPr>
        <w:t xml:space="preserve"> </w:t>
      </w:r>
      <w:r w:rsidR="00927C14">
        <w:rPr>
          <w:rFonts w:ascii="Arial" w:hAnsi="Arial" w:cs="Arial"/>
          <w:szCs w:val="24"/>
          <w:lang w:eastAsia="en-GB"/>
        </w:rPr>
        <w:t>As we approach the end of 2023/24, £</w:t>
      </w:r>
      <w:r w:rsidR="007D7A22">
        <w:rPr>
          <w:rFonts w:ascii="Arial" w:hAnsi="Arial" w:cs="Arial"/>
          <w:szCs w:val="24"/>
          <w:lang w:eastAsia="en-GB"/>
        </w:rPr>
        <w:t>7</w:t>
      </w:r>
      <w:r w:rsidR="00483160">
        <w:rPr>
          <w:rFonts w:ascii="Arial" w:hAnsi="Arial" w:cs="Arial"/>
          <w:szCs w:val="24"/>
          <w:lang w:eastAsia="en-GB"/>
        </w:rPr>
        <w:t>63</w:t>
      </w:r>
      <w:r w:rsidR="007D7A22">
        <w:rPr>
          <w:rFonts w:ascii="Arial" w:hAnsi="Arial" w:cs="Arial"/>
          <w:szCs w:val="24"/>
          <w:lang w:eastAsia="en-GB"/>
        </w:rPr>
        <w:t>,000</w:t>
      </w:r>
      <w:r w:rsidR="00927C14">
        <w:rPr>
          <w:rFonts w:ascii="Arial" w:hAnsi="Arial" w:cs="Arial"/>
          <w:szCs w:val="24"/>
          <w:lang w:eastAsia="en-GB"/>
        </w:rPr>
        <w:t xml:space="preserve"> remains unspent, of which £</w:t>
      </w:r>
      <w:r w:rsidR="007D7A22">
        <w:rPr>
          <w:rFonts w:ascii="Arial" w:hAnsi="Arial" w:cs="Arial"/>
          <w:szCs w:val="24"/>
          <w:lang w:eastAsia="en-GB"/>
        </w:rPr>
        <w:t>59</w:t>
      </w:r>
      <w:r w:rsidR="00D33D63">
        <w:rPr>
          <w:rFonts w:ascii="Arial" w:hAnsi="Arial" w:cs="Arial"/>
          <w:szCs w:val="24"/>
          <w:lang w:eastAsia="en-GB"/>
        </w:rPr>
        <w:t>7</w:t>
      </w:r>
      <w:r w:rsidR="007D7A22">
        <w:rPr>
          <w:rFonts w:ascii="Arial" w:hAnsi="Arial" w:cs="Arial"/>
          <w:szCs w:val="24"/>
          <w:lang w:eastAsia="en-GB"/>
        </w:rPr>
        <w:t>,000</w:t>
      </w:r>
      <w:r w:rsidR="00927C14">
        <w:rPr>
          <w:rFonts w:ascii="Arial" w:hAnsi="Arial" w:cs="Arial"/>
          <w:szCs w:val="24"/>
          <w:lang w:eastAsia="en-GB"/>
        </w:rPr>
        <w:t xml:space="preserve"> is </w:t>
      </w:r>
      <w:r w:rsidR="00D33D63">
        <w:rPr>
          <w:rFonts w:ascii="Arial" w:hAnsi="Arial" w:cs="Arial"/>
          <w:szCs w:val="24"/>
          <w:lang w:eastAsia="en-GB"/>
        </w:rPr>
        <w:t>planned</w:t>
      </w:r>
      <w:r w:rsidR="00927C14">
        <w:rPr>
          <w:rFonts w:ascii="Arial" w:hAnsi="Arial" w:cs="Arial"/>
          <w:szCs w:val="24"/>
          <w:lang w:eastAsia="en-GB"/>
        </w:rPr>
        <w:t xml:space="preserve"> spend, leaving £</w:t>
      </w:r>
      <w:r w:rsidR="007D7A22">
        <w:rPr>
          <w:rFonts w:ascii="Arial" w:hAnsi="Arial" w:cs="Arial"/>
          <w:szCs w:val="24"/>
          <w:lang w:eastAsia="en-GB"/>
        </w:rPr>
        <w:t>1</w:t>
      </w:r>
      <w:r w:rsidR="00483160">
        <w:rPr>
          <w:rFonts w:ascii="Arial" w:hAnsi="Arial" w:cs="Arial"/>
          <w:szCs w:val="24"/>
          <w:lang w:eastAsia="en-GB"/>
        </w:rPr>
        <w:t>65</w:t>
      </w:r>
      <w:r w:rsidR="007D7A22">
        <w:rPr>
          <w:rFonts w:ascii="Arial" w:hAnsi="Arial" w:cs="Arial"/>
          <w:szCs w:val="24"/>
          <w:lang w:eastAsia="en-GB"/>
        </w:rPr>
        <w:t>,000</w:t>
      </w:r>
      <w:r w:rsidR="00927C14">
        <w:rPr>
          <w:rFonts w:ascii="Arial" w:hAnsi="Arial" w:cs="Arial"/>
          <w:szCs w:val="24"/>
          <w:lang w:eastAsia="en-GB"/>
        </w:rPr>
        <w:t xml:space="preserve"> unallocated </w:t>
      </w:r>
      <w:r w:rsidR="00D33D63">
        <w:rPr>
          <w:rFonts w:ascii="Arial" w:hAnsi="Arial" w:cs="Arial"/>
          <w:szCs w:val="24"/>
          <w:lang w:eastAsia="en-GB"/>
        </w:rPr>
        <w:t>budget</w:t>
      </w:r>
      <w:r w:rsidR="00927C14">
        <w:rPr>
          <w:rFonts w:ascii="Arial" w:hAnsi="Arial" w:cs="Arial"/>
          <w:szCs w:val="24"/>
          <w:lang w:eastAsia="en-GB"/>
        </w:rPr>
        <w:t>.</w:t>
      </w:r>
    </w:p>
    <w:p w14:paraId="4523BB7A" w14:textId="5E0C8C93" w:rsidR="007D7A22" w:rsidRDefault="00D33D63" w:rsidP="00B35481">
      <w:pPr>
        <w:autoSpaceDE w:val="0"/>
        <w:autoSpaceDN w:val="0"/>
        <w:adjustRightInd w:val="0"/>
        <w:spacing w:after="120"/>
        <w:ind w:left="170"/>
        <w:rPr>
          <w:rFonts w:ascii="Arial" w:hAnsi="Arial" w:cs="Arial"/>
          <w:szCs w:val="24"/>
          <w:lang w:eastAsia="en-GB"/>
        </w:rPr>
      </w:pPr>
      <w:r>
        <w:rPr>
          <w:rFonts w:ascii="Arial" w:hAnsi="Arial" w:cs="Arial"/>
          <w:noProof/>
          <w:szCs w:val="24"/>
          <w:lang w:eastAsia="en-GB"/>
        </w:rPr>
        <w:lastRenderedPageBreak/>
        <w:drawing>
          <wp:inline distT="0" distB="0" distL="0" distR="0" wp14:anchorId="5BFBBEA5" wp14:editId="1BA2F3F9">
            <wp:extent cx="6582410" cy="3540476"/>
            <wp:effectExtent l="0" t="0" r="0" b="3175"/>
            <wp:docPr id="728742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7218" cy="3548441"/>
                    </a:xfrm>
                    <a:prstGeom prst="rect">
                      <a:avLst/>
                    </a:prstGeom>
                    <a:noFill/>
                  </pic:spPr>
                </pic:pic>
              </a:graphicData>
            </a:graphic>
          </wp:inline>
        </w:drawing>
      </w:r>
    </w:p>
    <w:p w14:paraId="0029227E" w14:textId="465BE4F7" w:rsidR="00927C14" w:rsidRDefault="00927C14"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Diversion </w:t>
      </w:r>
      <w:r w:rsidR="00353967">
        <w:rPr>
          <w:rFonts w:ascii="Arial" w:hAnsi="Arial" w:cs="Arial"/>
          <w:szCs w:val="24"/>
          <w:lang w:eastAsia="en-GB"/>
        </w:rPr>
        <w:t xml:space="preserve">of materials from residual waste is a key performance indicator for HRRCs. The chart below shows some improvements since the project started at four of the HRRCs, but decreases in performance at two (Ealing’s and Hounslow’s). There remains a significant gap between the lowest and highest diverting HRRCs of over 40 percentage points. </w:t>
      </w:r>
    </w:p>
    <w:p w14:paraId="02A7198E" w14:textId="618BF780" w:rsidR="00927C14" w:rsidRDefault="00580009" w:rsidP="00B35481">
      <w:pPr>
        <w:autoSpaceDE w:val="0"/>
        <w:autoSpaceDN w:val="0"/>
        <w:adjustRightInd w:val="0"/>
        <w:spacing w:after="120"/>
        <w:ind w:left="170"/>
        <w:rPr>
          <w:rFonts w:ascii="Arial" w:hAnsi="Arial" w:cs="Arial"/>
          <w:szCs w:val="24"/>
          <w:lang w:eastAsia="en-GB"/>
        </w:rPr>
      </w:pPr>
      <w:r>
        <w:rPr>
          <w:noProof/>
        </w:rPr>
        <w:drawing>
          <wp:inline distT="0" distB="0" distL="0" distR="0" wp14:anchorId="51A2C4FD" wp14:editId="403673FB">
            <wp:extent cx="6629400" cy="3228975"/>
            <wp:effectExtent l="0" t="0" r="0" b="9525"/>
            <wp:docPr id="1374153807" name="Chart 1">
              <a:extLst xmlns:a="http://schemas.openxmlformats.org/drawingml/2006/main">
                <a:ext uri="{FF2B5EF4-FFF2-40B4-BE49-F238E27FC236}">
                  <a16:creationId xmlns:a16="http://schemas.microsoft.com/office/drawing/2014/main" id="{F0FD3500-AB43-1D51-7496-735390818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2AA35" w14:textId="2450A14A" w:rsidR="00580009" w:rsidRDefault="00E13F33" w:rsidP="00580009">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Whilst diversion rate is a useful indicator for understanding how well a site reuses and recycles, residual waste is the indicator that most accurately reflects the cost and carbon burden of an HRRC to west London taxpayers. The chart below shows that residual waste </w:t>
      </w:r>
      <w:r w:rsidR="00EB3EE5">
        <w:rPr>
          <w:rFonts w:ascii="Arial" w:hAnsi="Arial" w:cs="Arial"/>
          <w:szCs w:val="24"/>
          <w:lang w:eastAsia="en-GB"/>
        </w:rPr>
        <w:t>per household</w:t>
      </w:r>
      <w:r>
        <w:rPr>
          <w:rFonts w:ascii="Arial" w:hAnsi="Arial" w:cs="Arial"/>
          <w:szCs w:val="24"/>
          <w:lang w:eastAsia="en-GB"/>
        </w:rPr>
        <w:t xml:space="preserve"> var</w:t>
      </w:r>
      <w:r w:rsidR="00EB3EE5">
        <w:rPr>
          <w:rFonts w:ascii="Arial" w:hAnsi="Arial" w:cs="Arial"/>
          <w:szCs w:val="24"/>
          <w:lang w:eastAsia="en-GB"/>
        </w:rPr>
        <w:t>ies</w:t>
      </w:r>
      <w:r>
        <w:rPr>
          <w:rFonts w:ascii="Arial" w:hAnsi="Arial" w:cs="Arial"/>
          <w:szCs w:val="24"/>
          <w:lang w:eastAsia="en-GB"/>
        </w:rPr>
        <w:t xml:space="preserve"> significantly between the sites. Hillingdon, Harrow and Hounslow’s sites each have relatively low diversion rates and high volumes of waste going through the HRRC, which result</w:t>
      </w:r>
      <w:r w:rsidR="00EB3EE5">
        <w:rPr>
          <w:rFonts w:ascii="Arial" w:hAnsi="Arial" w:cs="Arial"/>
          <w:szCs w:val="24"/>
          <w:lang w:eastAsia="en-GB"/>
        </w:rPr>
        <w:t>s</w:t>
      </w:r>
      <w:r>
        <w:rPr>
          <w:rFonts w:ascii="Arial" w:hAnsi="Arial" w:cs="Arial"/>
          <w:szCs w:val="24"/>
          <w:lang w:eastAsia="en-GB"/>
        </w:rPr>
        <w:t xml:space="preserve"> in high </w:t>
      </w:r>
      <w:r w:rsidR="00EB3EE5">
        <w:rPr>
          <w:rFonts w:ascii="Arial" w:hAnsi="Arial" w:cs="Arial"/>
          <w:szCs w:val="24"/>
          <w:lang w:eastAsia="en-GB"/>
        </w:rPr>
        <w:t>quantities</w:t>
      </w:r>
      <w:r>
        <w:rPr>
          <w:rFonts w:ascii="Arial" w:hAnsi="Arial" w:cs="Arial"/>
          <w:szCs w:val="24"/>
          <w:lang w:eastAsia="en-GB"/>
        </w:rPr>
        <w:t xml:space="preserve"> of residual waste</w:t>
      </w:r>
      <w:r w:rsidR="00EB3EE5">
        <w:rPr>
          <w:rFonts w:ascii="Arial" w:hAnsi="Arial" w:cs="Arial"/>
          <w:szCs w:val="24"/>
          <w:lang w:eastAsia="en-GB"/>
        </w:rPr>
        <w:t xml:space="preserve"> per household</w:t>
      </w:r>
      <w:r>
        <w:rPr>
          <w:rFonts w:ascii="Arial" w:hAnsi="Arial" w:cs="Arial"/>
          <w:szCs w:val="24"/>
          <w:lang w:eastAsia="en-GB"/>
        </w:rPr>
        <w:t xml:space="preserve">. The cost of transporting and disposing of this material is borne by all six Boroughs as part of the Fixed Cost Levy and is apportioned based on Council Tax Band </w:t>
      </w:r>
      <w:r w:rsidR="00531282">
        <w:rPr>
          <w:rFonts w:ascii="Arial" w:hAnsi="Arial" w:cs="Arial"/>
          <w:szCs w:val="24"/>
          <w:lang w:eastAsia="en-GB"/>
        </w:rPr>
        <w:t>D</w:t>
      </w:r>
      <w:r>
        <w:rPr>
          <w:rFonts w:ascii="Arial" w:hAnsi="Arial" w:cs="Arial"/>
          <w:szCs w:val="24"/>
          <w:lang w:eastAsia="en-GB"/>
        </w:rPr>
        <w:t xml:space="preserve"> properties.</w:t>
      </w:r>
    </w:p>
    <w:p w14:paraId="79688034" w14:textId="4251377C" w:rsidR="00580009" w:rsidRDefault="00AF7570" w:rsidP="00580009">
      <w:pPr>
        <w:autoSpaceDE w:val="0"/>
        <w:autoSpaceDN w:val="0"/>
        <w:adjustRightInd w:val="0"/>
        <w:spacing w:after="120"/>
        <w:ind w:left="170"/>
        <w:rPr>
          <w:rFonts w:ascii="Arial" w:hAnsi="Arial" w:cs="Arial"/>
          <w:szCs w:val="24"/>
          <w:lang w:eastAsia="en-GB"/>
        </w:rPr>
      </w:pPr>
      <w:r w:rsidRPr="00AF7570">
        <w:rPr>
          <w:rFonts w:ascii="Arial" w:hAnsi="Arial" w:cs="Arial"/>
          <w:noProof/>
          <w:szCs w:val="24"/>
          <w:lang w:eastAsia="en-GB"/>
        </w:rPr>
        <w:lastRenderedPageBreak/>
        <w:drawing>
          <wp:inline distT="0" distB="0" distL="0" distR="0" wp14:anchorId="7E9339F0" wp14:editId="6CEB35A6">
            <wp:extent cx="6646545" cy="3273425"/>
            <wp:effectExtent l="0" t="0" r="1905" b="3175"/>
            <wp:docPr id="932039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6545" cy="3273425"/>
                    </a:xfrm>
                    <a:prstGeom prst="rect">
                      <a:avLst/>
                    </a:prstGeom>
                    <a:noFill/>
                    <a:ln>
                      <a:noFill/>
                    </a:ln>
                  </pic:spPr>
                </pic:pic>
              </a:graphicData>
            </a:graphic>
          </wp:inline>
        </w:drawing>
      </w:r>
    </w:p>
    <w:p w14:paraId="1C1C54B3" w14:textId="4EAD1D23" w:rsidR="00353967" w:rsidRDefault="00791151"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If all Boroughs</w:t>
      </w:r>
      <w:r w:rsidR="00C1003F">
        <w:rPr>
          <w:rFonts w:ascii="Arial" w:hAnsi="Arial" w:cs="Arial"/>
          <w:szCs w:val="24"/>
          <w:lang w:eastAsia="en-GB"/>
        </w:rPr>
        <w:t>’</w:t>
      </w:r>
      <w:r>
        <w:rPr>
          <w:rFonts w:ascii="Arial" w:hAnsi="Arial" w:cs="Arial"/>
          <w:szCs w:val="24"/>
          <w:lang w:eastAsia="en-GB"/>
        </w:rPr>
        <w:t xml:space="preserve"> kg per household were equal to the lowest</w:t>
      </w:r>
      <w:r w:rsidR="00C1003F">
        <w:rPr>
          <w:rFonts w:ascii="Arial" w:hAnsi="Arial" w:cs="Arial"/>
          <w:szCs w:val="24"/>
          <w:lang w:eastAsia="en-GB"/>
        </w:rPr>
        <w:t xml:space="preserve"> Borough</w:t>
      </w:r>
      <w:r>
        <w:rPr>
          <w:rFonts w:ascii="Arial" w:hAnsi="Arial" w:cs="Arial"/>
          <w:szCs w:val="24"/>
          <w:lang w:eastAsia="en-GB"/>
        </w:rPr>
        <w:t xml:space="preserve">, </w:t>
      </w:r>
      <w:r w:rsidR="00C1003F">
        <w:rPr>
          <w:rFonts w:ascii="Arial" w:hAnsi="Arial" w:cs="Arial"/>
          <w:szCs w:val="24"/>
          <w:lang w:eastAsia="en-GB"/>
        </w:rPr>
        <w:t xml:space="preserve">around £1.9 million per year could be saved. Conversely if all Boroughs’ kg per household were equal to the highest, annual costs would increase by around £5.5 million.   </w:t>
      </w:r>
    </w:p>
    <w:p w14:paraId="71E0F75D" w14:textId="0A6AEF2C" w:rsidR="00C0104D" w:rsidRDefault="00C0104D"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Abbey Road site has demonstrated how it’s possible to maintain very high performance and continue to improve whilst reducing cost at the same time. Major improvements since 2020 include:</w:t>
      </w:r>
    </w:p>
    <w:p w14:paraId="64D4F5AE" w14:textId="77777777" w:rsidR="00C0104D" w:rsidRDefault="00C0104D" w:rsidP="00C0104D">
      <w:pPr>
        <w:pStyle w:val="ListParagraph"/>
        <w:numPr>
          <w:ilvl w:val="0"/>
          <w:numId w:val="28"/>
        </w:numPr>
        <w:autoSpaceDE w:val="0"/>
        <w:autoSpaceDN w:val="0"/>
        <w:adjustRightInd w:val="0"/>
        <w:spacing w:before="60" w:after="60"/>
        <w:ind w:left="884" w:hanging="357"/>
        <w:rPr>
          <w:sz w:val="24"/>
          <w:szCs w:val="28"/>
          <w:lang w:eastAsia="en-GB"/>
        </w:rPr>
      </w:pPr>
      <w:r>
        <w:rPr>
          <w:sz w:val="24"/>
          <w:szCs w:val="28"/>
          <w:lang w:eastAsia="en-GB"/>
        </w:rPr>
        <w:t>Creating covered storage areas for reusable items including bikes and furniture</w:t>
      </w:r>
    </w:p>
    <w:p w14:paraId="6CFC711B" w14:textId="77777777" w:rsidR="00C0104D" w:rsidRDefault="00C0104D" w:rsidP="00C0104D">
      <w:pPr>
        <w:pStyle w:val="ListParagraph"/>
        <w:numPr>
          <w:ilvl w:val="0"/>
          <w:numId w:val="28"/>
        </w:numPr>
        <w:autoSpaceDE w:val="0"/>
        <w:autoSpaceDN w:val="0"/>
        <w:adjustRightInd w:val="0"/>
        <w:spacing w:before="60" w:after="60"/>
        <w:ind w:left="884" w:hanging="357"/>
        <w:rPr>
          <w:sz w:val="24"/>
          <w:szCs w:val="28"/>
          <w:lang w:eastAsia="en-GB"/>
        </w:rPr>
      </w:pPr>
      <w:r>
        <w:rPr>
          <w:sz w:val="24"/>
          <w:szCs w:val="28"/>
          <w:lang w:eastAsia="en-GB"/>
        </w:rPr>
        <w:t>Two new workshops for repairing items, including laptops and bikes</w:t>
      </w:r>
    </w:p>
    <w:p w14:paraId="387C059B" w14:textId="1706A235" w:rsidR="00456507" w:rsidRDefault="00456507" w:rsidP="00C0104D">
      <w:pPr>
        <w:pStyle w:val="ListParagraph"/>
        <w:numPr>
          <w:ilvl w:val="0"/>
          <w:numId w:val="28"/>
        </w:numPr>
        <w:autoSpaceDE w:val="0"/>
        <w:autoSpaceDN w:val="0"/>
        <w:adjustRightInd w:val="0"/>
        <w:spacing w:before="60" w:after="60"/>
        <w:ind w:left="884" w:hanging="357"/>
        <w:rPr>
          <w:sz w:val="24"/>
          <w:szCs w:val="28"/>
          <w:lang w:eastAsia="en-GB"/>
        </w:rPr>
      </w:pPr>
      <w:r w:rsidRPr="00456507">
        <w:rPr>
          <w:bCs/>
          <w:sz w:val="24"/>
          <w:szCs w:val="28"/>
          <w:lang w:eastAsia="en-GB"/>
        </w:rPr>
        <w:t>Nine new separate collections for previously non-recycled items</w:t>
      </w:r>
    </w:p>
    <w:p w14:paraId="14D52355" w14:textId="77777777" w:rsidR="00C0104D" w:rsidRDefault="00C0104D" w:rsidP="00C0104D">
      <w:pPr>
        <w:pStyle w:val="ListParagraph"/>
        <w:numPr>
          <w:ilvl w:val="0"/>
          <w:numId w:val="28"/>
        </w:numPr>
        <w:autoSpaceDE w:val="0"/>
        <w:autoSpaceDN w:val="0"/>
        <w:adjustRightInd w:val="0"/>
        <w:spacing w:before="60" w:after="60"/>
        <w:ind w:left="884" w:hanging="357"/>
        <w:rPr>
          <w:sz w:val="24"/>
          <w:szCs w:val="28"/>
          <w:lang w:eastAsia="en-GB"/>
        </w:rPr>
      </w:pPr>
      <w:r>
        <w:rPr>
          <w:sz w:val="24"/>
          <w:szCs w:val="28"/>
          <w:lang w:eastAsia="en-GB"/>
        </w:rPr>
        <w:t>Improved look and feel with quality signage, newly painted bins and showcasing upcycled items</w:t>
      </w:r>
    </w:p>
    <w:p w14:paraId="4F808804" w14:textId="77777777" w:rsidR="00456507" w:rsidRDefault="00C0104D" w:rsidP="00C0104D">
      <w:pPr>
        <w:pStyle w:val="ListParagraph"/>
        <w:numPr>
          <w:ilvl w:val="0"/>
          <w:numId w:val="28"/>
        </w:numPr>
        <w:autoSpaceDE w:val="0"/>
        <w:autoSpaceDN w:val="0"/>
        <w:adjustRightInd w:val="0"/>
        <w:spacing w:before="60" w:after="60"/>
        <w:ind w:left="884" w:hanging="357"/>
        <w:rPr>
          <w:sz w:val="24"/>
          <w:szCs w:val="28"/>
          <w:lang w:eastAsia="en-GB"/>
        </w:rPr>
      </w:pPr>
      <w:r>
        <w:rPr>
          <w:sz w:val="24"/>
          <w:szCs w:val="28"/>
          <w:lang w:eastAsia="en-GB"/>
        </w:rPr>
        <w:t>A non-recyclables checkpoint where customers are helped to separate reusable and recyclable items from their waste</w:t>
      </w:r>
      <w:r w:rsidR="00456507">
        <w:rPr>
          <w:sz w:val="24"/>
          <w:szCs w:val="28"/>
          <w:lang w:eastAsia="en-GB"/>
        </w:rPr>
        <w:t>, educating them ahead of their next visit</w:t>
      </w:r>
    </w:p>
    <w:p w14:paraId="4C9D9BDD" w14:textId="102E186E" w:rsidR="00927C14" w:rsidRPr="00C0104D" w:rsidRDefault="00456507" w:rsidP="00C0104D">
      <w:pPr>
        <w:pStyle w:val="ListParagraph"/>
        <w:numPr>
          <w:ilvl w:val="0"/>
          <w:numId w:val="28"/>
        </w:numPr>
        <w:autoSpaceDE w:val="0"/>
        <w:autoSpaceDN w:val="0"/>
        <w:adjustRightInd w:val="0"/>
        <w:spacing w:before="60" w:after="60"/>
        <w:ind w:left="884" w:hanging="357"/>
        <w:rPr>
          <w:sz w:val="24"/>
          <w:szCs w:val="28"/>
          <w:lang w:eastAsia="en-GB"/>
        </w:rPr>
      </w:pPr>
      <w:r>
        <w:rPr>
          <w:sz w:val="24"/>
          <w:szCs w:val="28"/>
          <w:lang w:eastAsia="en-GB"/>
        </w:rPr>
        <w:t>A data-based approach with a move to using tablets to manage customer bookings and survey site users, providing valuable insights about waste habits and behaviours. This helped lead to a new high quality bulky materials home collections service for Brent.</w:t>
      </w:r>
      <w:r w:rsidR="00C0104D">
        <w:rPr>
          <w:sz w:val="24"/>
          <w:szCs w:val="28"/>
          <w:lang w:eastAsia="en-GB"/>
        </w:rPr>
        <w:t xml:space="preserve">  </w:t>
      </w:r>
      <w:r w:rsidR="00C0104D" w:rsidRPr="00C0104D">
        <w:rPr>
          <w:sz w:val="24"/>
          <w:szCs w:val="28"/>
          <w:lang w:eastAsia="en-GB"/>
        </w:rPr>
        <w:t xml:space="preserve"> </w:t>
      </w:r>
    </w:p>
    <w:p w14:paraId="2C4B3334" w14:textId="77777777" w:rsidR="00927C14" w:rsidRDefault="00927C14" w:rsidP="00B35481">
      <w:pPr>
        <w:autoSpaceDE w:val="0"/>
        <w:autoSpaceDN w:val="0"/>
        <w:adjustRightInd w:val="0"/>
        <w:spacing w:after="120"/>
        <w:ind w:left="170"/>
        <w:rPr>
          <w:rFonts w:ascii="Arial" w:hAnsi="Arial" w:cs="Arial"/>
          <w:szCs w:val="24"/>
          <w:lang w:eastAsia="en-GB"/>
        </w:rPr>
      </w:pPr>
    </w:p>
    <w:p w14:paraId="1E0CFBAA" w14:textId="7461F5D9" w:rsidR="00353967" w:rsidRDefault="009548A7"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During this time, </w:t>
      </w:r>
      <w:r w:rsidR="001150BE">
        <w:rPr>
          <w:rFonts w:ascii="Arial" w:hAnsi="Arial" w:cs="Arial"/>
          <w:szCs w:val="24"/>
          <w:lang w:eastAsia="en-GB"/>
        </w:rPr>
        <w:t xml:space="preserve">and following investment during the pandemic, </w:t>
      </w:r>
      <w:r>
        <w:rPr>
          <w:rFonts w:ascii="Arial" w:hAnsi="Arial" w:cs="Arial"/>
          <w:szCs w:val="24"/>
          <w:lang w:eastAsia="en-GB"/>
        </w:rPr>
        <w:t>the site’s budget has continued to improve</w:t>
      </w:r>
      <w:r w:rsidR="007E4D47">
        <w:rPr>
          <w:rFonts w:ascii="Arial" w:hAnsi="Arial" w:cs="Arial"/>
          <w:szCs w:val="24"/>
          <w:lang w:eastAsia="en-GB"/>
        </w:rPr>
        <w:t xml:space="preserve"> (see chart)</w:t>
      </w:r>
      <w:r>
        <w:rPr>
          <w:rFonts w:ascii="Arial" w:hAnsi="Arial" w:cs="Arial"/>
          <w:szCs w:val="24"/>
          <w:lang w:eastAsia="en-GB"/>
        </w:rPr>
        <w:t>, thanks to control of costs whilst increasing income from sale of recyclables and income from commercial waste on-site.</w:t>
      </w:r>
    </w:p>
    <w:p w14:paraId="60728900" w14:textId="075CDAC2" w:rsidR="007E4D47" w:rsidRDefault="001150BE" w:rsidP="00B35481">
      <w:pPr>
        <w:autoSpaceDE w:val="0"/>
        <w:autoSpaceDN w:val="0"/>
        <w:adjustRightInd w:val="0"/>
        <w:spacing w:after="120"/>
        <w:ind w:left="170"/>
        <w:rPr>
          <w:rFonts w:ascii="Arial" w:hAnsi="Arial" w:cs="Arial"/>
          <w:szCs w:val="24"/>
          <w:lang w:eastAsia="en-GB"/>
        </w:rPr>
      </w:pPr>
      <w:r w:rsidRPr="001150BE">
        <w:rPr>
          <w:noProof/>
        </w:rPr>
        <w:lastRenderedPageBreak/>
        <w:drawing>
          <wp:inline distT="0" distB="0" distL="0" distR="0" wp14:anchorId="52C1D6B4" wp14:editId="695E6C88">
            <wp:extent cx="5646074" cy="3276600"/>
            <wp:effectExtent l="0" t="0" r="0" b="0"/>
            <wp:docPr id="5664729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7073" cy="3277180"/>
                    </a:xfrm>
                    <a:prstGeom prst="rect">
                      <a:avLst/>
                    </a:prstGeom>
                    <a:noFill/>
                    <a:ln>
                      <a:noFill/>
                    </a:ln>
                  </pic:spPr>
                </pic:pic>
              </a:graphicData>
            </a:graphic>
          </wp:inline>
        </w:drawing>
      </w:r>
    </w:p>
    <w:p w14:paraId="700A7376" w14:textId="19B858F0" w:rsidR="008D09E7" w:rsidRDefault="008D09E7"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There are a number of ways in which the remaining </w:t>
      </w:r>
      <w:r w:rsidR="00235D57">
        <w:rPr>
          <w:rFonts w:ascii="Arial" w:hAnsi="Arial" w:cs="Arial"/>
          <w:szCs w:val="24"/>
          <w:lang w:eastAsia="en-GB"/>
        </w:rPr>
        <w:t xml:space="preserve">HRRC improvement </w:t>
      </w:r>
      <w:r>
        <w:rPr>
          <w:rFonts w:ascii="Arial" w:hAnsi="Arial" w:cs="Arial"/>
          <w:szCs w:val="24"/>
          <w:lang w:eastAsia="en-GB"/>
        </w:rPr>
        <w:t>funds can be allocated, and a decision is needed before the end of the current financial year.</w:t>
      </w:r>
    </w:p>
    <w:p w14:paraId="3184A6C3" w14:textId="1C3C70B1" w:rsidR="008D09E7" w:rsidRDefault="008D09E7" w:rsidP="00E75708">
      <w:pPr>
        <w:pStyle w:val="ListParagraph"/>
        <w:numPr>
          <w:ilvl w:val="0"/>
          <w:numId w:val="41"/>
        </w:numPr>
        <w:autoSpaceDE w:val="0"/>
        <w:autoSpaceDN w:val="0"/>
        <w:adjustRightInd w:val="0"/>
        <w:spacing w:after="120"/>
        <w:ind w:left="567"/>
        <w:rPr>
          <w:sz w:val="24"/>
          <w:szCs w:val="28"/>
          <w:lang w:eastAsia="en-GB"/>
        </w:rPr>
      </w:pPr>
      <w:r w:rsidRPr="008D09E7">
        <w:rPr>
          <w:sz w:val="24"/>
          <w:szCs w:val="28"/>
          <w:lang w:eastAsia="en-GB"/>
        </w:rPr>
        <w:t xml:space="preserve">Return the money to Boroughs via </w:t>
      </w:r>
      <w:r>
        <w:rPr>
          <w:sz w:val="24"/>
          <w:szCs w:val="28"/>
          <w:lang w:eastAsia="en-GB"/>
        </w:rPr>
        <w:t>the disbursement of reserves</w:t>
      </w:r>
      <w:r w:rsidR="00E75708">
        <w:rPr>
          <w:sz w:val="24"/>
          <w:szCs w:val="28"/>
          <w:lang w:eastAsia="en-GB"/>
        </w:rPr>
        <w:t xml:space="preserve"> (apportioned by Band C households)</w:t>
      </w:r>
    </w:p>
    <w:p w14:paraId="5F74200A" w14:textId="1558A111" w:rsidR="008D09E7"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All unspent money, or</w:t>
      </w:r>
    </w:p>
    <w:p w14:paraId="0354E628" w14:textId="53845595" w:rsidR="00E75708"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Only unallocated and unspent money</w:t>
      </w:r>
    </w:p>
    <w:p w14:paraId="0FC6E5BA" w14:textId="7AD9C159" w:rsidR="00E75708" w:rsidRDefault="00E75708" w:rsidP="00E75708">
      <w:pPr>
        <w:pStyle w:val="ListParagraph"/>
        <w:numPr>
          <w:ilvl w:val="0"/>
          <w:numId w:val="41"/>
        </w:numPr>
        <w:autoSpaceDE w:val="0"/>
        <w:autoSpaceDN w:val="0"/>
        <w:adjustRightInd w:val="0"/>
        <w:spacing w:after="120"/>
        <w:ind w:left="567"/>
        <w:rPr>
          <w:sz w:val="24"/>
          <w:szCs w:val="28"/>
          <w:lang w:eastAsia="en-GB"/>
        </w:rPr>
      </w:pPr>
      <w:r w:rsidRPr="008D09E7">
        <w:rPr>
          <w:sz w:val="24"/>
          <w:szCs w:val="28"/>
          <w:lang w:eastAsia="en-GB"/>
        </w:rPr>
        <w:t xml:space="preserve">Return </w:t>
      </w:r>
      <w:r>
        <w:rPr>
          <w:sz w:val="24"/>
          <w:szCs w:val="28"/>
          <w:lang w:eastAsia="en-GB"/>
        </w:rPr>
        <w:t>each Borough’s remaining balance to them directly</w:t>
      </w:r>
    </w:p>
    <w:p w14:paraId="5C67CAA3" w14:textId="77777777" w:rsidR="00E75708"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All unspent money, or</w:t>
      </w:r>
    </w:p>
    <w:p w14:paraId="14D5C6A7" w14:textId="77777777" w:rsidR="00E75708"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Only unallocated and unspent money</w:t>
      </w:r>
    </w:p>
    <w:p w14:paraId="1E4D64A7" w14:textId="13944E35" w:rsidR="00353967" w:rsidRDefault="00E75708" w:rsidP="00E75708">
      <w:pPr>
        <w:pStyle w:val="ListParagraph"/>
        <w:numPr>
          <w:ilvl w:val="0"/>
          <w:numId w:val="41"/>
        </w:numPr>
        <w:autoSpaceDE w:val="0"/>
        <w:autoSpaceDN w:val="0"/>
        <w:adjustRightInd w:val="0"/>
        <w:spacing w:after="120"/>
        <w:ind w:left="567"/>
        <w:rPr>
          <w:sz w:val="24"/>
          <w:szCs w:val="28"/>
          <w:lang w:eastAsia="en-GB"/>
        </w:rPr>
      </w:pPr>
      <w:r>
        <w:rPr>
          <w:sz w:val="24"/>
          <w:szCs w:val="28"/>
          <w:lang w:eastAsia="en-GB"/>
        </w:rPr>
        <w:t>Roll over the remaining money to 2024/25 but with strong performance targets attached.</w:t>
      </w:r>
    </w:p>
    <w:p w14:paraId="6C7D6939" w14:textId="7E9802A5" w:rsidR="00E75708"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Ringfence the unspent balance for each Borough, or</w:t>
      </w:r>
    </w:p>
    <w:p w14:paraId="2EAF3BC2" w14:textId="69CD92A4" w:rsidR="00E75708" w:rsidRPr="008D09E7" w:rsidRDefault="00E75708" w:rsidP="00E75708">
      <w:pPr>
        <w:pStyle w:val="ListParagraph"/>
        <w:numPr>
          <w:ilvl w:val="1"/>
          <w:numId w:val="41"/>
        </w:numPr>
        <w:autoSpaceDE w:val="0"/>
        <w:autoSpaceDN w:val="0"/>
        <w:adjustRightInd w:val="0"/>
        <w:spacing w:after="120"/>
        <w:ind w:left="993"/>
        <w:rPr>
          <w:sz w:val="24"/>
          <w:szCs w:val="28"/>
          <w:lang w:eastAsia="en-GB"/>
        </w:rPr>
      </w:pPr>
      <w:r>
        <w:rPr>
          <w:sz w:val="24"/>
          <w:szCs w:val="28"/>
          <w:lang w:eastAsia="en-GB"/>
        </w:rPr>
        <w:t>Put the whole unspent balance into a central pot for all Boroughs to access.</w:t>
      </w:r>
    </w:p>
    <w:p w14:paraId="215EB506" w14:textId="77777777" w:rsidR="008D5886" w:rsidRDefault="00E75708"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analysis above indicates that there is much more to do regarding HRRC improvements</w:t>
      </w:r>
      <w:r w:rsidR="001B65BB">
        <w:rPr>
          <w:rFonts w:ascii="Arial" w:hAnsi="Arial" w:cs="Arial"/>
          <w:szCs w:val="24"/>
          <w:lang w:eastAsia="en-GB"/>
        </w:rPr>
        <w:t xml:space="preserve">, and many Boroughs have plans for how they would like to spend the remaining money. </w:t>
      </w:r>
      <w:r>
        <w:rPr>
          <w:rFonts w:ascii="Arial" w:hAnsi="Arial" w:cs="Arial"/>
          <w:szCs w:val="24"/>
          <w:lang w:eastAsia="en-GB"/>
        </w:rPr>
        <w:t xml:space="preserve">Therefore the recommendation is to </w:t>
      </w:r>
      <w:r w:rsidR="001B65BB">
        <w:rPr>
          <w:rFonts w:ascii="Arial" w:hAnsi="Arial" w:cs="Arial"/>
          <w:szCs w:val="24"/>
          <w:lang w:eastAsia="en-GB"/>
        </w:rPr>
        <w:t xml:space="preserve">adopt Option 3a and </w:t>
      </w:r>
      <w:r>
        <w:rPr>
          <w:rFonts w:ascii="Arial" w:hAnsi="Arial" w:cs="Arial"/>
          <w:szCs w:val="24"/>
          <w:lang w:eastAsia="en-GB"/>
        </w:rPr>
        <w:t>r</w:t>
      </w:r>
      <w:r w:rsidR="001B65BB">
        <w:rPr>
          <w:rFonts w:ascii="Arial" w:hAnsi="Arial" w:cs="Arial"/>
          <w:szCs w:val="24"/>
          <w:lang w:eastAsia="en-GB"/>
        </w:rPr>
        <w:t>ingfence</w:t>
      </w:r>
      <w:r>
        <w:rPr>
          <w:rFonts w:ascii="Arial" w:hAnsi="Arial" w:cs="Arial"/>
          <w:szCs w:val="24"/>
          <w:lang w:eastAsia="en-GB"/>
        </w:rPr>
        <w:t xml:space="preserve"> the </w:t>
      </w:r>
      <w:r w:rsidR="001B65BB">
        <w:rPr>
          <w:rFonts w:ascii="Arial" w:hAnsi="Arial" w:cs="Arial"/>
          <w:szCs w:val="24"/>
          <w:lang w:eastAsia="en-GB"/>
        </w:rPr>
        <w:t>remaining balance for each Borough</w:t>
      </w:r>
      <w:r w:rsidR="008D5886">
        <w:rPr>
          <w:rFonts w:ascii="Arial" w:hAnsi="Arial" w:cs="Arial"/>
          <w:szCs w:val="24"/>
          <w:lang w:eastAsia="en-GB"/>
        </w:rPr>
        <w:t>.</w:t>
      </w:r>
    </w:p>
    <w:p w14:paraId="55D97EE5" w14:textId="355BC72C" w:rsidR="00053E7B" w:rsidRDefault="008D5886"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However, the current approach </w:t>
      </w:r>
      <w:r w:rsidR="00053E7B">
        <w:rPr>
          <w:rFonts w:ascii="Arial" w:hAnsi="Arial" w:cs="Arial"/>
          <w:szCs w:val="24"/>
          <w:lang w:eastAsia="en-GB"/>
        </w:rPr>
        <w:t xml:space="preserve">has not delivered </w:t>
      </w:r>
      <w:r w:rsidR="007308B6">
        <w:rPr>
          <w:rFonts w:ascii="Arial" w:hAnsi="Arial" w:cs="Arial"/>
          <w:szCs w:val="24"/>
          <w:lang w:eastAsia="en-GB"/>
        </w:rPr>
        <w:t xml:space="preserve">a </w:t>
      </w:r>
      <w:r w:rsidR="00053E7B">
        <w:rPr>
          <w:rFonts w:ascii="Arial" w:hAnsi="Arial" w:cs="Arial"/>
          <w:szCs w:val="24"/>
          <w:lang w:eastAsia="en-GB"/>
        </w:rPr>
        <w:t xml:space="preserve">major </w:t>
      </w:r>
      <w:r w:rsidR="007308B6">
        <w:rPr>
          <w:rFonts w:ascii="Arial" w:hAnsi="Arial" w:cs="Arial"/>
          <w:szCs w:val="24"/>
          <w:lang w:eastAsia="en-GB"/>
        </w:rPr>
        <w:t>uplift in performance</w:t>
      </w:r>
      <w:r w:rsidR="00053E7B">
        <w:rPr>
          <w:rFonts w:ascii="Arial" w:hAnsi="Arial" w:cs="Arial"/>
          <w:szCs w:val="24"/>
          <w:lang w:eastAsia="en-GB"/>
        </w:rPr>
        <w:t xml:space="preserve"> and the delivery of initiatives has been slow, so a new approach is needed.</w:t>
      </w:r>
    </w:p>
    <w:p w14:paraId="2258C7B3" w14:textId="3864168A" w:rsidR="008D5886" w:rsidRDefault="00053E7B"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will work with the Boroughs define </w:t>
      </w:r>
      <w:r w:rsidRPr="00053E7B">
        <w:rPr>
          <w:rFonts w:ascii="Arial" w:hAnsi="Arial" w:cs="Arial"/>
          <w:szCs w:val="24"/>
          <w:lang w:eastAsia="en-GB"/>
        </w:rPr>
        <w:t xml:space="preserve">what a best performing HRRC is, and exactly how and when each Borough’s HRRC </w:t>
      </w:r>
      <w:r w:rsidR="009F251D">
        <w:rPr>
          <w:rFonts w:ascii="Arial" w:hAnsi="Arial" w:cs="Arial"/>
          <w:szCs w:val="24"/>
          <w:lang w:eastAsia="en-GB"/>
        </w:rPr>
        <w:t>can</w:t>
      </w:r>
      <w:r w:rsidRPr="00053E7B">
        <w:rPr>
          <w:rFonts w:ascii="Arial" w:hAnsi="Arial" w:cs="Arial"/>
          <w:szCs w:val="24"/>
          <w:lang w:eastAsia="en-GB"/>
        </w:rPr>
        <w:t xml:space="preserve"> achieve this level</w:t>
      </w:r>
      <w:r>
        <w:rPr>
          <w:rFonts w:ascii="Arial" w:hAnsi="Arial" w:cs="Arial"/>
          <w:szCs w:val="24"/>
          <w:lang w:eastAsia="en-GB"/>
        </w:rPr>
        <w:t xml:space="preserve">. </w:t>
      </w:r>
      <w:r w:rsidR="00DD1BD1">
        <w:rPr>
          <w:rFonts w:ascii="Arial" w:hAnsi="Arial" w:cs="Arial"/>
          <w:szCs w:val="24"/>
          <w:lang w:eastAsia="en-GB"/>
        </w:rPr>
        <w:t>We</w:t>
      </w:r>
      <w:r>
        <w:rPr>
          <w:rFonts w:ascii="Arial" w:hAnsi="Arial" w:cs="Arial"/>
          <w:szCs w:val="24"/>
          <w:lang w:eastAsia="en-GB"/>
        </w:rPr>
        <w:t xml:space="preserve"> will do this by:</w:t>
      </w:r>
    </w:p>
    <w:p w14:paraId="1711D0EC" w14:textId="4AC1B388" w:rsidR="00DD1BD1" w:rsidRDefault="00053E7B" w:rsidP="00DD1BD1">
      <w:pPr>
        <w:pStyle w:val="ListParagraph"/>
        <w:numPr>
          <w:ilvl w:val="0"/>
          <w:numId w:val="28"/>
        </w:numPr>
        <w:autoSpaceDE w:val="0"/>
        <w:autoSpaceDN w:val="0"/>
        <w:adjustRightInd w:val="0"/>
        <w:spacing w:before="60" w:after="60"/>
        <w:ind w:left="567" w:hanging="357"/>
        <w:rPr>
          <w:sz w:val="24"/>
          <w:szCs w:val="28"/>
          <w:lang w:eastAsia="en-GB"/>
        </w:rPr>
      </w:pPr>
      <w:r w:rsidRPr="00DD1BD1">
        <w:rPr>
          <w:b/>
          <w:bCs/>
          <w:sz w:val="24"/>
          <w:szCs w:val="28"/>
          <w:lang w:eastAsia="en-GB"/>
        </w:rPr>
        <w:t>Providing training</w:t>
      </w:r>
      <w:r w:rsidRPr="00DD1BD1">
        <w:rPr>
          <w:sz w:val="24"/>
          <w:szCs w:val="28"/>
          <w:lang w:eastAsia="en-GB"/>
        </w:rPr>
        <w:t xml:space="preserve">: </w:t>
      </w:r>
      <w:r w:rsidR="00DD1BD1" w:rsidRPr="00DD1BD1">
        <w:rPr>
          <w:sz w:val="24"/>
          <w:szCs w:val="28"/>
          <w:lang w:eastAsia="en-GB"/>
        </w:rPr>
        <w:t>A v</w:t>
      </w:r>
      <w:r w:rsidR="00DD1BD1">
        <w:rPr>
          <w:sz w:val="24"/>
          <w:szCs w:val="28"/>
          <w:lang w:eastAsia="en-GB"/>
        </w:rPr>
        <w:t>isit to a best practice HRRC (out-of-area) for Members and key officers.</w:t>
      </w:r>
    </w:p>
    <w:p w14:paraId="6D21F7A6" w14:textId="1363A81A" w:rsidR="00DD1BD1" w:rsidRPr="00DD1BD1" w:rsidRDefault="00DD1BD1" w:rsidP="00DD1BD1">
      <w:pPr>
        <w:pStyle w:val="ListParagraph"/>
        <w:numPr>
          <w:ilvl w:val="0"/>
          <w:numId w:val="28"/>
        </w:numPr>
        <w:autoSpaceDE w:val="0"/>
        <w:autoSpaceDN w:val="0"/>
        <w:adjustRightInd w:val="0"/>
        <w:spacing w:before="60" w:after="60"/>
        <w:ind w:left="567" w:hanging="357"/>
        <w:rPr>
          <w:sz w:val="24"/>
          <w:szCs w:val="28"/>
          <w:lang w:eastAsia="en-GB"/>
        </w:rPr>
      </w:pPr>
      <w:r w:rsidRPr="00DD1BD1">
        <w:rPr>
          <w:b/>
          <w:bCs/>
          <w:sz w:val="24"/>
          <w:szCs w:val="28"/>
          <w:lang w:eastAsia="en-GB"/>
        </w:rPr>
        <w:t>Defining best practice</w:t>
      </w:r>
      <w:r>
        <w:rPr>
          <w:sz w:val="24"/>
          <w:szCs w:val="28"/>
          <w:lang w:eastAsia="en-GB"/>
        </w:rPr>
        <w:t xml:space="preserve">: </w:t>
      </w:r>
      <w:r w:rsidRPr="00DD1BD1">
        <w:rPr>
          <w:sz w:val="24"/>
          <w:szCs w:val="28"/>
          <w:lang w:val="en-US" w:eastAsia="en-GB"/>
        </w:rPr>
        <w:t xml:space="preserve">A report with a specification for a ‘best performing’ HRRC service, clear performance targets and options for delivery - presented to </w:t>
      </w:r>
      <w:r>
        <w:rPr>
          <w:sz w:val="24"/>
          <w:szCs w:val="28"/>
          <w:lang w:val="en-US" w:eastAsia="en-GB"/>
        </w:rPr>
        <w:t>the Authority</w:t>
      </w:r>
      <w:r w:rsidRPr="00DD1BD1">
        <w:rPr>
          <w:sz w:val="24"/>
          <w:szCs w:val="28"/>
          <w:lang w:val="en-US" w:eastAsia="en-GB"/>
        </w:rPr>
        <w:t xml:space="preserve"> in June</w:t>
      </w:r>
    </w:p>
    <w:p w14:paraId="0D58B507" w14:textId="0936EC6A" w:rsidR="00DD1BD1" w:rsidRDefault="00DD1BD1" w:rsidP="00DD1BD1">
      <w:pPr>
        <w:pStyle w:val="ListParagraph"/>
        <w:numPr>
          <w:ilvl w:val="0"/>
          <w:numId w:val="28"/>
        </w:numPr>
        <w:autoSpaceDE w:val="0"/>
        <w:autoSpaceDN w:val="0"/>
        <w:adjustRightInd w:val="0"/>
        <w:spacing w:before="60" w:after="60"/>
        <w:ind w:left="567" w:hanging="357"/>
        <w:rPr>
          <w:sz w:val="24"/>
          <w:szCs w:val="28"/>
          <w:lang w:eastAsia="en-GB"/>
        </w:rPr>
      </w:pPr>
      <w:r>
        <w:rPr>
          <w:b/>
          <w:bCs/>
          <w:sz w:val="24"/>
          <w:szCs w:val="28"/>
          <w:lang w:eastAsia="en-GB"/>
        </w:rPr>
        <w:t>Launching a procurement</w:t>
      </w:r>
      <w:r>
        <w:rPr>
          <w:sz w:val="24"/>
          <w:szCs w:val="28"/>
          <w:lang w:eastAsia="en-GB"/>
        </w:rPr>
        <w:t xml:space="preserve"> for a new HRRC service</w:t>
      </w:r>
    </w:p>
    <w:p w14:paraId="7DDF5A81" w14:textId="4F015275" w:rsidR="00BB50CB" w:rsidRPr="00DD1BD1" w:rsidRDefault="00BB50CB" w:rsidP="00BB50CB">
      <w:pPr>
        <w:pStyle w:val="ListParagraph"/>
        <w:numPr>
          <w:ilvl w:val="0"/>
          <w:numId w:val="28"/>
        </w:numPr>
        <w:autoSpaceDE w:val="0"/>
        <w:autoSpaceDN w:val="0"/>
        <w:adjustRightInd w:val="0"/>
        <w:spacing w:before="60" w:after="60"/>
        <w:ind w:left="567" w:hanging="357"/>
        <w:rPr>
          <w:b/>
          <w:bCs/>
          <w:sz w:val="24"/>
          <w:szCs w:val="28"/>
          <w:lang w:eastAsia="en-GB"/>
        </w:rPr>
      </w:pPr>
      <w:r w:rsidRPr="00DD1BD1">
        <w:rPr>
          <w:b/>
          <w:bCs/>
          <w:sz w:val="24"/>
          <w:szCs w:val="28"/>
          <w:lang w:eastAsia="en-GB"/>
        </w:rPr>
        <w:t>Defining in-year improvements</w:t>
      </w:r>
      <w:r>
        <w:rPr>
          <w:sz w:val="24"/>
          <w:szCs w:val="28"/>
          <w:lang w:eastAsia="en-GB"/>
        </w:rPr>
        <w:t xml:space="preserve"> for all Boroughs</w:t>
      </w:r>
    </w:p>
    <w:p w14:paraId="55CF553F" w14:textId="067FD425" w:rsidR="00DD1BD1" w:rsidRPr="00DD1BD1" w:rsidRDefault="00DD1BD1" w:rsidP="00DD1BD1">
      <w:pPr>
        <w:pStyle w:val="ListParagraph"/>
        <w:numPr>
          <w:ilvl w:val="0"/>
          <w:numId w:val="28"/>
        </w:numPr>
        <w:ind w:left="567"/>
        <w:rPr>
          <w:sz w:val="24"/>
          <w:szCs w:val="28"/>
          <w:lang w:eastAsia="en-GB"/>
        </w:rPr>
      </w:pPr>
      <w:r w:rsidRPr="00DD1BD1">
        <w:rPr>
          <w:b/>
          <w:bCs/>
          <w:sz w:val="24"/>
          <w:szCs w:val="28"/>
          <w:lang w:eastAsia="en-GB"/>
        </w:rPr>
        <w:t>Establish</w:t>
      </w:r>
      <w:r w:rsidR="00BB50CB">
        <w:rPr>
          <w:b/>
          <w:bCs/>
          <w:sz w:val="24"/>
          <w:szCs w:val="28"/>
          <w:lang w:eastAsia="en-GB"/>
        </w:rPr>
        <w:t>ing</w:t>
      </w:r>
      <w:r w:rsidRPr="00DD1BD1">
        <w:rPr>
          <w:b/>
          <w:bCs/>
          <w:sz w:val="24"/>
          <w:szCs w:val="28"/>
          <w:lang w:eastAsia="en-GB"/>
        </w:rPr>
        <w:t xml:space="preserve"> commercial arrangements</w:t>
      </w:r>
      <w:r w:rsidRPr="00DD1BD1">
        <w:rPr>
          <w:sz w:val="24"/>
          <w:szCs w:val="28"/>
          <w:lang w:eastAsia="en-GB"/>
        </w:rPr>
        <w:t xml:space="preserve"> for participating and non-participating Boroughs </w:t>
      </w:r>
    </w:p>
    <w:p w14:paraId="0C2CC31F" w14:textId="3DFD032F" w:rsidR="00053E7B" w:rsidRDefault="00BB50CB" w:rsidP="00B3548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remaining HRRC improvement funding will be ringfenced </w:t>
      </w:r>
      <w:r w:rsidR="009F251D">
        <w:rPr>
          <w:rFonts w:ascii="Arial" w:hAnsi="Arial" w:cs="Arial"/>
          <w:szCs w:val="24"/>
          <w:lang w:eastAsia="en-GB"/>
        </w:rPr>
        <w:t xml:space="preserve">to the Boroughs </w:t>
      </w:r>
      <w:r>
        <w:rPr>
          <w:rFonts w:ascii="Arial" w:hAnsi="Arial" w:cs="Arial"/>
          <w:szCs w:val="24"/>
          <w:lang w:eastAsia="en-GB"/>
        </w:rPr>
        <w:t xml:space="preserve">for delivering the in-year and </w:t>
      </w:r>
      <w:r w:rsidR="00767EDB">
        <w:rPr>
          <w:rFonts w:ascii="Arial" w:hAnsi="Arial" w:cs="Arial"/>
          <w:szCs w:val="24"/>
          <w:lang w:eastAsia="en-GB"/>
        </w:rPr>
        <w:t>the longer-term</w:t>
      </w:r>
      <w:r>
        <w:rPr>
          <w:rFonts w:ascii="Arial" w:hAnsi="Arial" w:cs="Arial"/>
          <w:szCs w:val="24"/>
          <w:lang w:eastAsia="en-GB"/>
        </w:rPr>
        <w:t xml:space="preserve"> performance improvements identified by the HRRC best practice report. </w:t>
      </w:r>
    </w:p>
    <w:p w14:paraId="18DD8C47" w14:textId="77777777" w:rsidR="00353967" w:rsidRPr="00B35481" w:rsidRDefault="00353967" w:rsidP="00B35481">
      <w:pPr>
        <w:autoSpaceDE w:val="0"/>
        <w:autoSpaceDN w:val="0"/>
        <w:adjustRightInd w:val="0"/>
        <w:spacing w:after="120"/>
        <w:ind w:left="170"/>
        <w:rPr>
          <w:rFonts w:ascii="Arial" w:hAnsi="Arial" w:cs="Arial"/>
          <w:szCs w:val="24"/>
          <w:lang w:eastAsia="en-GB"/>
        </w:rPr>
      </w:pPr>
    </w:p>
    <w:bookmarkEnd w:id="0"/>
    <w:p w14:paraId="121C9FB6" w14:textId="60F8DBE3" w:rsidR="00116896" w:rsidRPr="00300DDE" w:rsidRDefault="006059D6" w:rsidP="002D3F72">
      <w:pPr>
        <w:keepNext/>
        <w:numPr>
          <w:ilvl w:val="0"/>
          <w:numId w:val="2"/>
        </w:numPr>
        <w:autoSpaceDE w:val="0"/>
        <w:autoSpaceDN w:val="0"/>
        <w:adjustRightInd w:val="0"/>
        <w:spacing w:after="120"/>
        <w:rPr>
          <w:rFonts w:ascii="Arial" w:hAnsi="Arial" w:cs="Arial"/>
          <w:szCs w:val="24"/>
          <w:lang w:eastAsia="en-GB"/>
        </w:rPr>
      </w:pPr>
      <w:r w:rsidRPr="00300DDE">
        <w:rPr>
          <w:rFonts w:ascii="Arial" w:hAnsi="Arial" w:cs="Arial"/>
          <w:b/>
          <w:szCs w:val="24"/>
          <w:lang w:eastAsia="en-GB"/>
        </w:rPr>
        <w:t xml:space="preserve">Financial Implications </w:t>
      </w:r>
    </w:p>
    <w:tbl>
      <w:tblPr>
        <w:tblStyle w:val="TableGrid"/>
        <w:tblW w:w="5000" w:type="pct"/>
        <w:tblLook w:val="04A0" w:firstRow="1" w:lastRow="0" w:firstColumn="1" w:lastColumn="0" w:noHBand="0" w:noVBand="1"/>
      </w:tblPr>
      <w:tblGrid>
        <w:gridCol w:w="2405"/>
        <w:gridCol w:w="8052"/>
      </w:tblGrid>
      <w:tr w:rsidR="00574401" w:rsidRPr="00DA0B88" w14:paraId="3DCC7B7F" w14:textId="77777777" w:rsidTr="006417CA">
        <w:tc>
          <w:tcPr>
            <w:tcW w:w="1150" w:type="pct"/>
          </w:tcPr>
          <w:p w14:paraId="61168F67" w14:textId="77777777" w:rsidR="00574401" w:rsidRDefault="00574401" w:rsidP="002D3F72">
            <w:pPr>
              <w:keepNext/>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Section</w:t>
            </w:r>
          </w:p>
        </w:tc>
        <w:tc>
          <w:tcPr>
            <w:tcW w:w="3850" w:type="pct"/>
          </w:tcPr>
          <w:p w14:paraId="3988525D" w14:textId="77777777" w:rsidR="00574401" w:rsidRDefault="00574401" w:rsidP="002D3F72">
            <w:pPr>
              <w:keepNext/>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Financial Implications</w:t>
            </w:r>
          </w:p>
        </w:tc>
      </w:tr>
      <w:tr w:rsidR="00574401" w:rsidRPr="00DA0B88" w14:paraId="65643C6F" w14:textId="77777777" w:rsidTr="006417CA">
        <w:tc>
          <w:tcPr>
            <w:tcW w:w="1150" w:type="pct"/>
          </w:tcPr>
          <w:p w14:paraId="68AA9C70" w14:textId="77777777" w:rsidR="00574401" w:rsidRPr="00505F1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West London Residual Waste Services contract</w:t>
            </w:r>
          </w:p>
        </w:tc>
        <w:tc>
          <w:tcPr>
            <w:tcW w:w="3850" w:type="pct"/>
          </w:tcPr>
          <w:p w14:paraId="744064B4" w14:textId="7FCC1A49" w:rsidR="001F5825" w:rsidRPr="00505F19" w:rsidRDefault="006E5C9F" w:rsidP="004C7695">
            <w:pPr>
              <w:autoSpaceDE w:val="0"/>
              <w:autoSpaceDN w:val="0"/>
              <w:adjustRightInd w:val="0"/>
              <w:spacing w:before="40" w:after="40"/>
              <w:rPr>
                <w:rFonts w:ascii="Arial" w:hAnsi="Arial" w:cs="Arial"/>
                <w:sz w:val="20"/>
                <w:lang w:eastAsia="en-GB"/>
              </w:rPr>
            </w:pPr>
            <w:r>
              <w:rPr>
                <w:rFonts w:ascii="Arial" w:hAnsi="Arial" w:cs="Arial"/>
                <w:sz w:val="20"/>
                <w:lang w:eastAsia="en-GB"/>
              </w:rPr>
              <w:t>T</w:t>
            </w:r>
            <w:r w:rsidR="004D3282">
              <w:rPr>
                <w:rFonts w:ascii="Arial" w:hAnsi="Arial" w:cs="Arial"/>
                <w:sz w:val="20"/>
                <w:lang w:eastAsia="en-GB"/>
              </w:rPr>
              <w:t xml:space="preserve">he </w:t>
            </w:r>
            <w:r w:rsidR="004C7695">
              <w:rPr>
                <w:rFonts w:ascii="Arial" w:hAnsi="Arial" w:cs="Arial"/>
                <w:sz w:val="20"/>
                <w:lang w:eastAsia="en-GB"/>
              </w:rPr>
              <w:t>upgrade to the cranes at Victoria Road transfer station costs £4m and will be</w:t>
            </w:r>
            <w:r w:rsidR="00FC0A8C">
              <w:rPr>
                <w:rFonts w:ascii="Arial" w:hAnsi="Arial" w:cs="Arial"/>
                <w:sz w:val="20"/>
                <w:lang w:eastAsia="en-GB"/>
              </w:rPr>
              <w:t xml:space="preserve"> financed by the Contractor</w:t>
            </w:r>
            <w:r w:rsidR="004C7695">
              <w:rPr>
                <w:rFonts w:ascii="Arial" w:hAnsi="Arial" w:cs="Arial"/>
                <w:sz w:val="20"/>
                <w:lang w:eastAsia="en-GB"/>
              </w:rPr>
              <w:t>.</w:t>
            </w:r>
          </w:p>
        </w:tc>
      </w:tr>
      <w:tr w:rsidR="000E0179" w:rsidRPr="00DA0B88" w14:paraId="2CF8B822" w14:textId="77777777" w:rsidTr="006417CA">
        <w:tc>
          <w:tcPr>
            <w:tcW w:w="1150" w:type="pct"/>
          </w:tcPr>
          <w:p w14:paraId="2DBBCB52" w14:textId="0093BC71" w:rsidR="000E0179" w:rsidRPr="00574401" w:rsidRDefault="000E0179"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Viridor (Lakeside)</w:t>
            </w:r>
          </w:p>
        </w:tc>
        <w:tc>
          <w:tcPr>
            <w:tcW w:w="3850" w:type="pct"/>
          </w:tcPr>
          <w:p w14:paraId="1873C928" w14:textId="29ABAA0B" w:rsidR="000E0179" w:rsidRDefault="00D12F6B" w:rsidP="001E05B0">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cost of managing 90,000 tonnes of residual waste through this contract is projected to be 3% higher than the budgeted amount due to the impact of inflation. </w:t>
            </w:r>
          </w:p>
        </w:tc>
      </w:tr>
      <w:tr w:rsidR="00574401" w:rsidRPr="00DA0B88" w14:paraId="78596D29" w14:textId="77777777" w:rsidTr="006417CA">
        <w:tc>
          <w:tcPr>
            <w:tcW w:w="1150" w:type="pct"/>
          </w:tcPr>
          <w:p w14:paraId="1B96CAB0" w14:textId="5976EF40"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Procurements</w:t>
            </w:r>
          </w:p>
        </w:tc>
        <w:tc>
          <w:tcPr>
            <w:tcW w:w="3850" w:type="pct"/>
          </w:tcPr>
          <w:p w14:paraId="02EA7A10" w14:textId="469D29F3" w:rsidR="00574401" w:rsidRDefault="00F3751E" w:rsidP="001E05B0">
            <w:pPr>
              <w:autoSpaceDE w:val="0"/>
              <w:autoSpaceDN w:val="0"/>
              <w:adjustRightInd w:val="0"/>
              <w:spacing w:before="40" w:after="40"/>
              <w:rPr>
                <w:rFonts w:ascii="Arial" w:hAnsi="Arial" w:cs="Arial"/>
                <w:sz w:val="20"/>
                <w:lang w:eastAsia="en-GB"/>
              </w:rPr>
            </w:pPr>
            <w:r w:rsidRPr="00F3751E">
              <w:rPr>
                <w:rFonts w:ascii="Arial" w:hAnsi="Arial" w:cs="Arial"/>
                <w:sz w:val="20"/>
                <w:lang w:eastAsia="en-GB"/>
              </w:rPr>
              <w:t xml:space="preserve">The </w:t>
            </w:r>
            <w:r>
              <w:rPr>
                <w:rFonts w:ascii="Arial" w:hAnsi="Arial" w:cs="Arial"/>
                <w:sz w:val="20"/>
                <w:lang w:eastAsia="en-GB"/>
              </w:rPr>
              <w:t>waste electricals arrangement</w:t>
            </w:r>
            <w:r w:rsidRPr="00F3751E">
              <w:rPr>
                <w:rFonts w:ascii="Arial" w:hAnsi="Arial" w:cs="Arial"/>
                <w:sz w:val="20"/>
                <w:lang w:eastAsia="en-GB"/>
              </w:rPr>
              <w:t xml:space="preserve"> enables the potential for revenue in the form of a rebate generated from LDA (</w:t>
            </w:r>
            <w:r>
              <w:rPr>
                <w:rFonts w:ascii="Arial" w:hAnsi="Arial" w:cs="Arial"/>
                <w:sz w:val="20"/>
                <w:lang w:eastAsia="en-GB"/>
              </w:rPr>
              <w:t>Large Domestic Appliances</w:t>
            </w:r>
            <w:r w:rsidRPr="00F3751E">
              <w:rPr>
                <w:rFonts w:ascii="Arial" w:hAnsi="Arial" w:cs="Arial"/>
                <w:sz w:val="20"/>
                <w:lang w:eastAsia="en-GB"/>
              </w:rPr>
              <w:t xml:space="preserve">) </w:t>
            </w:r>
            <w:r w:rsidR="00276E8D">
              <w:rPr>
                <w:rFonts w:ascii="Arial" w:hAnsi="Arial" w:cs="Arial"/>
                <w:sz w:val="20"/>
                <w:lang w:eastAsia="en-GB"/>
              </w:rPr>
              <w:t>and funding for improvements of up to £30,000</w:t>
            </w:r>
            <w:r>
              <w:rPr>
                <w:rFonts w:ascii="Arial" w:hAnsi="Arial" w:cs="Arial"/>
                <w:sz w:val="20"/>
                <w:lang w:eastAsia="en-GB"/>
              </w:rPr>
              <w:t>.</w:t>
            </w:r>
            <w:r w:rsidR="00276E8D">
              <w:rPr>
                <w:rFonts w:ascii="Arial" w:hAnsi="Arial" w:cs="Arial"/>
                <w:sz w:val="20"/>
                <w:lang w:eastAsia="en-GB"/>
              </w:rPr>
              <w:t xml:space="preserve"> The current arrangements deliver income for LDAs, but not improvement funding, so the new contract will deliver an improved income position.</w:t>
            </w:r>
            <w:r>
              <w:rPr>
                <w:rFonts w:ascii="Arial" w:hAnsi="Arial" w:cs="Arial"/>
                <w:sz w:val="20"/>
                <w:lang w:eastAsia="en-GB"/>
              </w:rPr>
              <w:t xml:space="preserve"> </w:t>
            </w:r>
            <w:r w:rsidR="00574401">
              <w:rPr>
                <w:rFonts w:ascii="Arial" w:hAnsi="Arial" w:cs="Arial"/>
                <w:sz w:val="20"/>
                <w:lang w:eastAsia="en-GB"/>
              </w:rPr>
              <w:t xml:space="preserve"> </w:t>
            </w:r>
          </w:p>
        </w:tc>
      </w:tr>
      <w:tr w:rsidR="00574401" w:rsidRPr="00DA0B88" w14:paraId="59B5615D" w14:textId="77777777" w:rsidTr="006417CA">
        <w:tc>
          <w:tcPr>
            <w:tcW w:w="1150" w:type="pct"/>
          </w:tcPr>
          <w:p w14:paraId="3BE75139" w14:textId="77777777" w:rsidR="00574401" w:rsidRPr="008A2059" w:rsidRDefault="00574401" w:rsidP="006417CA">
            <w:pPr>
              <w:autoSpaceDE w:val="0"/>
              <w:autoSpaceDN w:val="0"/>
              <w:adjustRightInd w:val="0"/>
              <w:spacing w:before="40" w:after="40"/>
              <w:rPr>
                <w:rFonts w:ascii="Arial" w:hAnsi="Arial" w:cs="Arial"/>
                <w:sz w:val="20"/>
                <w:lang w:eastAsia="en-GB"/>
              </w:rPr>
            </w:pPr>
            <w:r w:rsidRPr="008A2059">
              <w:rPr>
                <w:rFonts w:ascii="Arial" w:hAnsi="Arial" w:cs="Arial"/>
                <w:sz w:val="20"/>
                <w:lang w:eastAsia="en-GB"/>
              </w:rPr>
              <w:t>Abbey Road HRRC and Waste Transfer Station (WTS)</w:t>
            </w:r>
          </w:p>
        </w:tc>
        <w:tc>
          <w:tcPr>
            <w:tcW w:w="3850" w:type="pct"/>
          </w:tcPr>
          <w:p w14:paraId="3423BA78" w14:textId="7422B2FB" w:rsidR="00E37D59" w:rsidRDefault="00F3751E"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costs of repairs to the waste transfer station’s concrete will be determined through forthcoming studies. Budget has been assigned for reactive maintenance, for repairs such as these. Work is ongoing to determine if the costs can be claimed back through insurance. </w:t>
            </w:r>
          </w:p>
        </w:tc>
      </w:tr>
      <w:tr w:rsidR="00574401" w:rsidRPr="00DA0B88" w14:paraId="617930F1" w14:textId="77777777" w:rsidTr="006417CA">
        <w:tc>
          <w:tcPr>
            <w:tcW w:w="1150" w:type="pct"/>
          </w:tcPr>
          <w:p w14:paraId="7CAD08AE" w14:textId="695C2F6B" w:rsidR="00574401" w:rsidRPr="008A2059" w:rsidRDefault="00574401" w:rsidP="006417CA">
            <w:pPr>
              <w:autoSpaceDE w:val="0"/>
              <w:autoSpaceDN w:val="0"/>
              <w:adjustRightInd w:val="0"/>
              <w:spacing w:before="40" w:after="40"/>
              <w:rPr>
                <w:rFonts w:ascii="Arial" w:hAnsi="Arial" w:cs="Arial"/>
                <w:sz w:val="20"/>
                <w:lang w:eastAsia="en-GB"/>
              </w:rPr>
            </w:pPr>
            <w:r w:rsidRPr="00574401">
              <w:rPr>
                <w:rFonts w:ascii="Arial" w:hAnsi="Arial" w:cs="Arial"/>
                <w:sz w:val="20"/>
                <w:lang w:eastAsia="en-GB"/>
              </w:rPr>
              <w:t>Richmond’s sites: Townmead Road HRRC/WTS and Central Depot</w:t>
            </w:r>
          </w:p>
        </w:tc>
        <w:tc>
          <w:tcPr>
            <w:tcW w:w="3850" w:type="pct"/>
          </w:tcPr>
          <w:p w14:paraId="153305FB" w14:textId="72394C54" w:rsidR="00574401" w:rsidRDefault="003E5485" w:rsidP="00F3751E">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WLWA’s staffing costs to support the sites are covered as part of a Service Level Agreement with the London Borough of Richmond upon Thames (LBRuT). </w:t>
            </w:r>
          </w:p>
        </w:tc>
      </w:tr>
      <w:tr w:rsidR="0011243B" w:rsidRPr="00DA0B88" w14:paraId="204975E5" w14:textId="77777777" w:rsidTr="006417CA">
        <w:tc>
          <w:tcPr>
            <w:tcW w:w="1150" w:type="pct"/>
          </w:tcPr>
          <w:p w14:paraId="276B1B06" w14:textId="5C6D8535" w:rsidR="0011243B" w:rsidRPr="00574401" w:rsidRDefault="0011243B"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Operations Manager</w:t>
            </w:r>
          </w:p>
        </w:tc>
        <w:tc>
          <w:tcPr>
            <w:tcW w:w="3850" w:type="pct"/>
          </w:tcPr>
          <w:p w14:paraId="52F87265" w14:textId="2ABEA216" w:rsidR="0011243B" w:rsidRDefault="00F3751E"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The Operation Manager role has been included within the budget.</w:t>
            </w:r>
          </w:p>
        </w:tc>
      </w:tr>
      <w:tr w:rsidR="0011243B" w:rsidRPr="00DA0B88" w14:paraId="5AEF54BB" w14:textId="77777777" w:rsidTr="006417CA">
        <w:tc>
          <w:tcPr>
            <w:tcW w:w="1150" w:type="pct"/>
          </w:tcPr>
          <w:p w14:paraId="55EAB5D3" w14:textId="76FFCBA1" w:rsidR="0011243B" w:rsidRPr="00574401" w:rsidRDefault="0011243B"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HRRC Improvement Project</w:t>
            </w:r>
          </w:p>
        </w:tc>
        <w:tc>
          <w:tcPr>
            <w:tcW w:w="3850" w:type="pct"/>
          </w:tcPr>
          <w:p w14:paraId="11AC0A74" w14:textId="77777777" w:rsidR="0011243B" w:rsidRDefault="00CA0A73"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The HRRC improvement fund is worth £1.2 million (£0.2 million per Borough). </w:t>
            </w:r>
            <w:r w:rsidRPr="00CA0A73">
              <w:rPr>
                <w:rFonts w:ascii="Arial" w:hAnsi="Arial" w:cs="Arial"/>
                <w:sz w:val="20"/>
                <w:lang w:eastAsia="en-GB"/>
              </w:rPr>
              <w:t>£0.77m was unspent at the end of 2022/23</w:t>
            </w:r>
            <w:r>
              <w:rPr>
                <w:rFonts w:ascii="Arial" w:hAnsi="Arial" w:cs="Arial"/>
                <w:sz w:val="20"/>
                <w:lang w:eastAsia="en-GB"/>
              </w:rPr>
              <w:t xml:space="preserve"> and rolled over into 2023/24. </w:t>
            </w:r>
            <w:r w:rsidRPr="00CA0A73">
              <w:rPr>
                <w:rFonts w:ascii="Arial" w:hAnsi="Arial" w:cs="Arial"/>
                <w:sz w:val="20"/>
                <w:lang w:eastAsia="en-GB"/>
              </w:rPr>
              <w:t>As we approach the end of 2023/24, £706,000 remains unspent, of which £598,000 is committed spend, leaving £108,000 unallocated and uncommitted.</w:t>
            </w:r>
          </w:p>
          <w:p w14:paraId="284E3260" w14:textId="668542CB" w:rsidR="00CA0A73" w:rsidRDefault="00CA0A73" w:rsidP="006417CA">
            <w:pPr>
              <w:autoSpaceDE w:val="0"/>
              <w:autoSpaceDN w:val="0"/>
              <w:adjustRightInd w:val="0"/>
              <w:spacing w:before="40" w:after="40"/>
              <w:rPr>
                <w:rFonts w:ascii="Arial" w:hAnsi="Arial" w:cs="Arial"/>
                <w:sz w:val="20"/>
                <w:lang w:eastAsia="en-GB"/>
              </w:rPr>
            </w:pPr>
            <w:r>
              <w:rPr>
                <w:rFonts w:ascii="Arial" w:hAnsi="Arial" w:cs="Arial"/>
                <w:sz w:val="20"/>
                <w:lang w:eastAsia="en-GB"/>
              </w:rPr>
              <w:t>The best practice study will help determine the scale of savings that can be achieved from best practice operations, along with the costs required to get there.</w:t>
            </w:r>
          </w:p>
        </w:tc>
      </w:tr>
    </w:tbl>
    <w:p w14:paraId="7F6BBD9D" w14:textId="77777777" w:rsidR="00114B7D" w:rsidRPr="00114B7D" w:rsidRDefault="00114B7D" w:rsidP="00114B7D">
      <w:pPr>
        <w:keepNext/>
        <w:autoSpaceDE w:val="0"/>
        <w:autoSpaceDN w:val="0"/>
        <w:adjustRightInd w:val="0"/>
        <w:spacing w:after="120"/>
        <w:ind w:left="170"/>
        <w:rPr>
          <w:rFonts w:ascii="Arial" w:hAnsi="Arial" w:cs="Arial"/>
          <w:szCs w:val="24"/>
          <w:lang w:eastAsia="en-GB"/>
        </w:rPr>
      </w:pPr>
    </w:p>
    <w:p w14:paraId="65B6BFA5" w14:textId="1A06515B"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6EE3F580" w:rsidR="0094151A" w:rsidRDefault="00CA0A73" w:rsidP="007C4F10">
      <w:pPr>
        <w:autoSpaceDE w:val="0"/>
        <w:autoSpaceDN w:val="0"/>
        <w:adjustRightInd w:val="0"/>
        <w:spacing w:after="120"/>
        <w:ind w:left="170"/>
        <w:rPr>
          <w:rFonts w:ascii="Arial" w:hAnsi="Arial" w:cs="Arial"/>
          <w:bCs/>
          <w:szCs w:val="24"/>
          <w:lang w:eastAsia="en-GB"/>
        </w:rPr>
      </w:pPr>
      <w:r>
        <w:rPr>
          <w:rFonts w:ascii="Arial" w:hAnsi="Arial" w:cs="Arial"/>
          <w:szCs w:val="24"/>
          <w:lang w:eastAsia="en-GB"/>
        </w:rPr>
        <w:t>None</w:t>
      </w:r>
      <w:r w:rsidR="00300DDE">
        <w:rPr>
          <w:rFonts w:ascii="Arial" w:hAnsi="Arial" w:cs="Arial"/>
          <w:szCs w:val="24"/>
          <w:lang w:eastAsia="en-GB"/>
        </w:rPr>
        <w:t>.</w:t>
      </w:r>
      <w:r w:rsidR="00946688">
        <w:rPr>
          <w:rFonts w:ascii="Arial" w:hAnsi="Arial" w:cs="Arial"/>
          <w:bCs/>
          <w:szCs w:val="24"/>
          <w:lang w:eastAsia="en-GB"/>
        </w:rPr>
        <w:t xml:space="preserve"> </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3B4B43F9" w:rsidR="00E10316" w:rsidRDefault="00114B7D"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Under the </w:t>
      </w:r>
      <w:r w:rsidR="00CA0A73">
        <w:rPr>
          <w:rFonts w:ascii="Arial" w:hAnsi="Arial" w:cs="Arial"/>
          <w:bCs/>
          <w:szCs w:val="24"/>
          <w:lang w:eastAsia="en-GB"/>
        </w:rPr>
        <w:t xml:space="preserve">existing </w:t>
      </w:r>
      <w:r>
        <w:rPr>
          <w:rFonts w:ascii="Arial" w:hAnsi="Arial" w:cs="Arial"/>
          <w:bCs/>
          <w:szCs w:val="24"/>
          <w:lang w:eastAsia="en-GB"/>
        </w:rPr>
        <w:t>service level agreement, LBRuT remains legally responsible for health and safety compliance at its Townmead Road and Central Depot sites</w:t>
      </w:r>
      <w:r w:rsidR="00086B60">
        <w:rPr>
          <w:rFonts w:ascii="Arial" w:hAnsi="Arial" w:cs="Arial"/>
          <w:bCs/>
          <w:szCs w:val="24"/>
          <w:lang w:eastAsia="en-GB"/>
        </w:rPr>
        <w:t>.</w:t>
      </w:r>
    </w:p>
    <w:p w14:paraId="2803AE81" w14:textId="77777777" w:rsidR="000117FC" w:rsidRPr="00ED3F19" w:rsidRDefault="000117FC" w:rsidP="004E5DED">
      <w:pPr>
        <w:keepNext/>
        <w:numPr>
          <w:ilvl w:val="0"/>
          <w:numId w:val="2"/>
        </w:numPr>
        <w:spacing w:before="60" w:after="60" w:line="288" w:lineRule="auto"/>
        <w:jc w:val="both"/>
        <w:rPr>
          <w:rFonts w:ascii="Arial" w:hAnsi="Arial" w:cs="Arial"/>
          <w:b/>
          <w:szCs w:val="24"/>
        </w:rPr>
      </w:pPr>
      <w:bookmarkStart w:id="4" w:name="_Ref122696490"/>
      <w:r>
        <w:rPr>
          <w:rFonts w:ascii="Arial" w:hAnsi="Arial" w:cs="Arial"/>
          <w:b/>
          <w:szCs w:val="24"/>
        </w:rPr>
        <w:t>Impact on Carbon reduction</w:t>
      </w:r>
      <w:bookmarkEnd w:id="4"/>
    </w:p>
    <w:p w14:paraId="13938B0E" w14:textId="77777777" w:rsidR="00114B7D" w:rsidRDefault="00114B7D" w:rsidP="00A3656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Replacing the cranes at Victoria Road will speed up tipping times, increasing the efficiency of the Boroughs’ collection services and saving carbon.</w:t>
      </w:r>
    </w:p>
    <w:p w14:paraId="7E4E95FE" w14:textId="77777777" w:rsidR="000117FC" w:rsidRPr="00EE742D" w:rsidRDefault="000117FC" w:rsidP="004241AF">
      <w:pPr>
        <w:numPr>
          <w:ilvl w:val="0"/>
          <w:numId w:val="2"/>
        </w:numPr>
        <w:spacing w:before="60" w:after="60" w:line="288" w:lineRule="auto"/>
        <w:jc w:val="both"/>
        <w:rPr>
          <w:rFonts w:ascii="Arial" w:hAnsi="Arial" w:cs="Arial"/>
          <w:b/>
          <w:szCs w:val="24"/>
        </w:rPr>
      </w:pPr>
      <w:r>
        <w:rPr>
          <w:rFonts w:ascii="Arial" w:hAnsi="Arial" w:cs="Arial"/>
          <w:b/>
          <w:szCs w:val="24"/>
        </w:rPr>
        <w:t xml:space="preserve">Impact on Environment Directors Priorities </w:t>
      </w:r>
    </w:p>
    <w:tbl>
      <w:tblPr>
        <w:tblStyle w:val="TableGrid"/>
        <w:tblW w:w="5000" w:type="pct"/>
        <w:tblLook w:val="04A0" w:firstRow="1" w:lastRow="0" w:firstColumn="1" w:lastColumn="0" w:noHBand="0" w:noVBand="1"/>
      </w:tblPr>
      <w:tblGrid>
        <w:gridCol w:w="4095"/>
        <w:gridCol w:w="6362"/>
      </w:tblGrid>
      <w:tr w:rsidR="000117FC" w:rsidRPr="00DA0B88" w14:paraId="5D5E6579" w14:textId="77777777" w:rsidTr="004241AF">
        <w:tc>
          <w:tcPr>
            <w:tcW w:w="1958" w:type="pct"/>
          </w:tcPr>
          <w:p w14:paraId="27DD385F" w14:textId="0FD94700" w:rsidR="000117FC" w:rsidRDefault="000117FC"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P</w:t>
            </w:r>
            <w:r w:rsidR="00710A7B">
              <w:rPr>
                <w:rFonts w:ascii="Arial" w:hAnsi="Arial" w:cs="Arial"/>
                <w:b/>
                <w:bCs/>
                <w:sz w:val="22"/>
                <w:szCs w:val="18"/>
                <w:lang w:eastAsia="en-GB"/>
              </w:rPr>
              <w:t>riority</w:t>
            </w:r>
          </w:p>
        </w:tc>
        <w:tc>
          <w:tcPr>
            <w:tcW w:w="3042" w:type="pct"/>
          </w:tcPr>
          <w:p w14:paraId="6CC85B2B" w14:textId="6B188478" w:rsidR="000117FC" w:rsidRDefault="00F44DB3"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Key points raised within this report</w:t>
            </w:r>
          </w:p>
        </w:tc>
      </w:tr>
      <w:tr w:rsidR="000117FC" w:rsidRPr="00DA0B88" w14:paraId="3852117E" w14:textId="77777777" w:rsidTr="004241AF">
        <w:tc>
          <w:tcPr>
            <w:tcW w:w="1958" w:type="pct"/>
          </w:tcPr>
          <w:p w14:paraId="0967BFAE"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Bringing residents with us</w:t>
            </w:r>
          </w:p>
        </w:tc>
        <w:tc>
          <w:tcPr>
            <w:tcW w:w="3042" w:type="pct"/>
          </w:tcPr>
          <w:p w14:paraId="6C313F30" w14:textId="764E98D6" w:rsidR="000117FC" w:rsidRPr="00505F19" w:rsidRDefault="00CA0A7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HRRCs are a key interface with residents. The best practice study will determine the extent to which this interface can be best used.</w:t>
            </w:r>
            <w:r w:rsidR="00A70759">
              <w:rPr>
                <w:rFonts w:ascii="Arial" w:hAnsi="Arial" w:cs="Arial"/>
                <w:sz w:val="20"/>
                <w:lang w:eastAsia="en-GB"/>
              </w:rPr>
              <w:t xml:space="preserve"> </w:t>
            </w:r>
          </w:p>
        </w:tc>
      </w:tr>
      <w:tr w:rsidR="000117FC" w:rsidRPr="00DA0B88" w14:paraId="26D5042E" w14:textId="77777777" w:rsidTr="004241AF">
        <w:tc>
          <w:tcPr>
            <w:tcW w:w="1958" w:type="pct"/>
          </w:tcPr>
          <w:p w14:paraId="3F75EEC2"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Sustainable decision making</w:t>
            </w:r>
          </w:p>
        </w:tc>
        <w:tc>
          <w:tcPr>
            <w:tcW w:w="3042" w:type="pct"/>
          </w:tcPr>
          <w:p w14:paraId="2A55561B" w14:textId="77777777" w:rsidR="000117FC" w:rsidRPr="00505F19" w:rsidRDefault="000117FC"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N/A</w:t>
            </w:r>
          </w:p>
        </w:tc>
      </w:tr>
      <w:tr w:rsidR="000117FC" w:rsidRPr="00DA0B88" w14:paraId="0D8CDC3F" w14:textId="77777777" w:rsidTr="004241AF">
        <w:tc>
          <w:tcPr>
            <w:tcW w:w="1958" w:type="pct"/>
          </w:tcPr>
          <w:p w14:paraId="550E1F4B"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 xml:space="preserve">Climate </w:t>
            </w:r>
            <w:r>
              <w:rPr>
                <w:rFonts w:ascii="Arial" w:hAnsi="Arial" w:cs="Arial"/>
                <w:sz w:val="20"/>
                <w:lang w:eastAsia="en-GB"/>
              </w:rPr>
              <w:t>a</w:t>
            </w:r>
            <w:r w:rsidRPr="00EE742D">
              <w:rPr>
                <w:rFonts w:ascii="Arial" w:hAnsi="Arial" w:cs="Arial"/>
                <w:sz w:val="20"/>
                <w:lang w:eastAsia="en-GB"/>
              </w:rPr>
              <w:t xml:space="preserve">daptation and </w:t>
            </w:r>
            <w:r>
              <w:rPr>
                <w:rFonts w:ascii="Arial" w:hAnsi="Arial" w:cs="Arial"/>
                <w:sz w:val="20"/>
                <w:lang w:eastAsia="en-GB"/>
              </w:rPr>
              <w:t>d</w:t>
            </w:r>
            <w:r w:rsidRPr="00EE742D">
              <w:rPr>
                <w:rFonts w:ascii="Arial" w:hAnsi="Arial" w:cs="Arial"/>
                <w:sz w:val="20"/>
                <w:lang w:eastAsia="en-GB"/>
              </w:rPr>
              <w:t>ecarbonisation</w:t>
            </w:r>
          </w:p>
        </w:tc>
        <w:tc>
          <w:tcPr>
            <w:tcW w:w="3042" w:type="pct"/>
          </w:tcPr>
          <w:p w14:paraId="3ACC0A59" w14:textId="77777777" w:rsidR="00F44DB3" w:rsidRDefault="00CA0A7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Electric shredders at the transfer stations reduce the carbon impact of the operation.</w:t>
            </w:r>
          </w:p>
          <w:p w14:paraId="5CCF08AE" w14:textId="7A9A90E6" w:rsidR="00CA0A73" w:rsidRPr="00505F19" w:rsidRDefault="00CA0A7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Identifying fire prevention measures is a key climate change adaptation.</w:t>
            </w:r>
          </w:p>
        </w:tc>
      </w:tr>
      <w:tr w:rsidR="000117FC" w:rsidRPr="00DA0B88" w14:paraId="12B4A066" w14:textId="77777777" w:rsidTr="004241AF">
        <w:tc>
          <w:tcPr>
            <w:tcW w:w="1958" w:type="pct"/>
          </w:tcPr>
          <w:p w14:paraId="6FEA18FA" w14:textId="77777777" w:rsidR="000117FC" w:rsidRPr="00EE742D"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Dealing with financial challenges whilst delivering on climate change</w:t>
            </w:r>
          </w:p>
        </w:tc>
        <w:tc>
          <w:tcPr>
            <w:tcW w:w="3042" w:type="pct"/>
          </w:tcPr>
          <w:p w14:paraId="02CD2297" w14:textId="07288968" w:rsidR="00710A7B" w:rsidRDefault="00A70759" w:rsidP="00086B60">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Investments in the cranes at Victoria Road will save Boroughs costs and carbon through reduced tipping times and more efficient collection operations. </w:t>
            </w:r>
          </w:p>
        </w:tc>
      </w:tr>
    </w:tbl>
    <w:p w14:paraId="05A855F5" w14:textId="77777777" w:rsidR="000117FC" w:rsidRDefault="000117FC" w:rsidP="004241AF">
      <w:pPr>
        <w:numPr>
          <w:ilvl w:val="0"/>
          <w:numId w:val="2"/>
        </w:numPr>
        <w:spacing w:before="60" w:after="60" w:line="288" w:lineRule="auto"/>
        <w:jc w:val="both"/>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p>
    <w:p w14:paraId="25F63DD8" w14:textId="77777777" w:rsidR="000117FC" w:rsidRPr="001746A9" w:rsidRDefault="000117FC" w:rsidP="004241AF">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lastRenderedPageBreak/>
        <w:t>The framework of a joint plan for 2030 to be developed by WLWA and Boroughs was agreed in March 2022 and is shown below.</w:t>
      </w:r>
    </w:p>
    <w:p w14:paraId="72AF56E4" w14:textId="77777777" w:rsidR="000117FC" w:rsidRDefault="000117FC" w:rsidP="004241AF">
      <w:pPr>
        <w:spacing w:before="60" w:after="60" w:line="288" w:lineRule="auto"/>
        <w:ind w:left="170"/>
        <w:jc w:val="both"/>
        <w:rPr>
          <w:rFonts w:ascii="Arial" w:hAnsi="Arial" w:cs="Arial"/>
          <w:szCs w:val="24"/>
        </w:rPr>
      </w:pPr>
      <w:r w:rsidRPr="00E61608">
        <w:rPr>
          <w:rFonts w:ascii="Arial" w:hAnsi="Arial" w:cs="Arial"/>
          <w:noProof/>
          <w:szCs w:val="24"/>
          <w:lang w:eastAsia="en-GB"/>
        </w:rPr>
        <w:drawing>
          <wp:inline distT="0" distB="0" distL="0" distR="0" wp14:anchorId="36BDE87B" wp14:editId="0AE9A62D">
            <wp:extent cx="4254213" cy="2554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552" cy="2575507"/>
                    </a:xfrm>
                    <a:prstGeom prst="rect">
                      <a:avLst/>
                    </a:prstGeom>
                    <a:noFill/>
                    <a:ln>
                      <a:noFill/>
                    </a:ln>
                  </pic:spPr>
                </pic:pic>
              </a:graphicData>
            </a:graphic>
          </wp:inline>
        </w:drawing>
      </w:r>
      <w:r>
        <w:rPr>
          <w:rFonts w:ascii="Arial" w:hAnsi="Arial" w:cs="Arial"/>
          <w:szCs w:val="24"/>
        </w:rPr>
        <w:t xml:space="preserve">  </w:t>
      </w:r>
    </w:p>
    <w:p w14:paraId="15819028" w14:textId="68A3C251" w:rsidR="00710A7B" w:rsidRDefault="00CA0A73" w:rsidP="00710A7B">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The HRRC improvement project will deliver reduce waste with more reuse, and will form part of the Capture Systems 2030 plan.</w:t>
      </w:r>
    </w:p>
    <w:p w14:paraId="3BA70B59" w14:textId="77777777" w:rsidR="000117FC" w:rsidRPr="00B66732" w:rsidRDefault="000117FC" w:rsidP="004241AF">
      <w:pPr>
        <w:keepNext/>
        <w:numPr>
          <w:ilvl w:val="0"/>
          <w:numId w:val="2"/>
        </w:numPr>
        <w:spacing w:before="60" w:after="60" w:line="288" w:lineRule="auto"/>
        <w:jc w:val="both"/>
        <w:rPr>
          <w:rFonts w:ascii="Arial" w:hAnsi="Arial" w:cs="Arial"/>
          <w:b/>
          <w:szCs w:val="24"/>
        </w:rPr>
      </w:pPr>
      <w:r w:rsidRPr="00B66732">
        <w:rPr>
          <w:rFonts w:ascii="Arial" w:hAnsi="Arial" w:cs="Arial"/>
          <w:b/>
          <w:szCs w:val="24"/>
        </w:rPr>
        <w:t xml:space="preserve">Impact on statutory, national and London targets </w:t>
      </w:r>
    </w:p>
    <w:p w14:paraId="0EE0ADD4" w14:textId="523D22E8" w:rsidR="004E5DED" w:rsidRPr="004A7478" w:rsidRDefault="00300DDE" w:rsidP="004E5DED">
      <w:pPr>
        <w:autoSpaceDE w:val="0"/>
        <w:autoSpaceDN w:val="0"/>
        <w:adjustRightInd w:val="0"/>
        <w:spacing w:after="120"/>
        <w:ind w:left="170"/>
        <w:rPr>
          <w:rFonts w:ascii="Arial" w:hAnsi="Arial" w:cs="Arial"/>
          <w:szCs w:val="24"/>
        </w:rPr>
      </w:pPr>
      <w:r>
        <w:rPr>
          <w:rFonts w:ascii="Arial" w:hAnsi="Arial" w:cs="Arial"/>
          <w:bCs/>
          <w:szCs w:val="24"/>
          <w:lang w:eastAsia="en-GB"/>
        </w:rPr>
        <w:t>Improvements at HRRCs help towards</w:t>
      </w:r>
      <w:r w:rsidR="000117FC" w:rsidRPr="001746A9">
        <w:rPr>
          <w:rFonts w:ascii="Arial" w:hAnsi="Arial" w:cs="Arial"/>
          <w:bCs/>
          <w:szCs w:val="24"/>
          <w:lang w:eastAsia="en-GB"/>
        </w:rPr>
        <w:t xml:space="preserve"> the target</w:t>
      </w:r>
      <w:r w:rsidR="00A70759">
        <w:rPr>
          <w:rFonts w:ascii="Arial" w:hAnsi="Arial" w:cs="Arial"/>
          <w:bCs/>
          <w:szCs w:val="24"/>
          <w:lang w:eastAsia="en-GB"/>
        </w:rPr>
        <w:t xml:space="preserve"> of</w:t>
      </w:r>
      <w:r w:rsidR="000117FC" w:rsidRPr="001746A9">
        <w:rPr>
          <w:rFonts w:ascii="Arial" w:hAnsi="Arial" w:cs="Arial"/>
          <w:bCs/>
          <w:szCs w:val="24"/>
          <w:lang w:eastAsia="en-GB"/>
        </w:rPr>
        <w:t xml:space="preserve"> 65% recycling by 2035 (2030 in London).</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4E5DED" w:rsidRPr="00784955" w14:paraId="71605F83" w14:textId="77777777" w:rsidTr="00764FBC">
        <w:tc>
          <w:tcPr>
            <w:tcW w:w="1163" w:type="dxa"/>
          </w:tcPr>
          <w:p w14:paraId="5C794820" w14:textId="77777777" w:rsidR="004E5DED" w:rsidRPr="007A3E6A" w:rsidRDefault="004E5DED" w:rsidP="00764FBC">
            <w:pPr>
              <w:spacing w:before="120" w:after="120"/>
              <w:ind w:right="113"/>
              <w:rPr>
                <w:rFonts w:ascii="Arial" w:hAnsi="Arial" w:cs="Arial"/>
                <w:i/>
                <w:szCs w:val="24"/>
              </w:rPr>
            </w:pPr>
            <w:r w:rsidRPr="007A3E6A">
              <w:rPr>
                <w:rFonts w:ascii="Arial" w:hAnsi="Arial" w:cs="Arial"/>
                <w:szCs w:val="24"/>
              </w:rPr>
              <w:t>Contact Officers</w:t>
            </w:r>
          </w:p>
        </w:tc>
        <w:tc>
          <w:tcPr>
            <w:tcW w:w="4820" w:type="dxa"/>
          </w:tcPr>
          <w:p w14:paraId="33D0D09D" w14:textId="77777777" w:rsidR="004E5DED" w:rsidRDefault="004E5DED" w:rsidP="00764FBC">
            <w:pPr>
              <w:spacing w:before="120"/>
              <w:ind w:right="113"/>
              <w:rPr>
                <w:rFonts w:ascii="Arial" w:hAnsi="Arial" w:cs="Arial"/>
                <w:szCs w:val="24"/>
              </w:rPr>
            </w:pPr>
            <w:r>
              <w:rPr>
                <w:rFonts w:ascii="Arial" w:hAnsi="Arial" w:cs="Arial"/>
                <w:szCs w:val="24"/>
              </w:rPr>
              <w:t>Tom Beagan, Head of Service Delivery</w:t>
            </w:r>
          </w:p>
          <w:p w14:paraId="6CDFDA78" w14:textId="77777777" w:rsidR="004E5DED" w:rsidRPr="008F7A7C" w:rsidRDefault="00FB6860" w:rsidP="00764FBC">
            <w:pPr>
              <w:ind w:right="113"/>
              <w:rPr>
                <w:rFonts w:ascii="Arial" w:hAnsi="Arial"/>
              </w:rPr>
            </w:pPr>
            <w:hyperlink r:id="rId17" w:history="1">
              <w:r w:rsidR="004E5DED" w:rsidRPr="00873524">
                <w:rPr>
                  <w:rStyle w:val="Hyperlink"/>
                  <w:rFonts w:ascii="Arial" w:hAnsi="Arial" w:cs="Arial"/>
                  <w:szCs w:val="24"/>
                </w:rPr>
                <w:t>tombeagan@westlondonwaste.gov.uk</w:t>
              </w:r>
            </w:hyperlink>
            <w:r w:rsidR="004E5DED">
              <w:rPr>
                <w:rFonts w:ascii="Arial" w:hAnsi="Arial" w:cs="Arial"/>
                <w:szCs w:val="24"/>
              </w:rPr>
              <w:tab/>
            </w:r>
          </w:p>
        </w:tc>
        <w:tc>
          <w:tcPr>
            <w:tcW w:w="4820" w:type="dxa"/>
          </w:tcPr>
          <w:p w14:paraId="62CD19B7" w14:textId="77777777" w:rsidR="004E5DED" w:rsidRDefault="004E5DED" w:rsidP="00764FBC">
            <w:pPr>
              <w:spacing w:before="120"/>
              <w:ind w:right="113"/>
              <w:rPr>
                <w:rFonts w:ascii="Arial" w:hAnsi="Arial" w:cs="Arial"/>
                <w:szCs w:val="24"/>
              </w:rPr>
            </w:pPr>
            <w:r>
              <w:rPr>
                <w:rFonts w:ascii="Arial" w:hAnsi="Arial" w:cs="Arial"/>
                <w:szCs w:val="24"/>
              </w:rPr>
              <w:t>01895 545516</w:t>
            </w:r>
          </w:p>
        </w:tc>
      </w:tr>
    </w:tbl>
    <w:p w14:paraId="5FE79014" w14:textId="09975D3D" w:rsidR="004A7478" w:rsidRPr="004A7478" w:rsidRDefault="004A7478" w:rsidP="00A70759">
      <w:pPr>
        <w:autoSpaceDE w:val="0"/>
        <w:autoSpaceDN w:val="0"/>
        <w:adjustRightInd w:val="0"/>
        <w:spacing w:after="120"/>
        <w:ind w:left="170"/>
        <w:rPr>
          <w:rFonts w:ascii="Arial" w:hAnsi="Arial" w:cs="Arial"/>
          <w:szCs w:val="24"/>
        </w:rPr>
      </w:pPr>
    </w:p>
    <w:sectPr w:rsidR="004A7478" w:rsidRPr="004A7478" w:rsidSect="00105EAE">
      <w:footerReference w:type="default" r:id="rId18"/>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FAB0" w14:textId="77777777" w:rsidR="00105EAE" w:rsidRDefault="00105EAE">
      <w:r>
        <w:separator/>
      </w:r>
    </w:p>
  </w:endnote>
  <w:endnote w:type="continuationSeparator" w:id="0">
    <w:p w14:paraId="0E7017FE" w14:textId="77777777" w:rsidR="00105EAE" w:rsidRDefault="001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6A33F8D0"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FB4B5C">
      <w:rPr>
        <w:rFonts w:ascii="Arial" w:hAnsi="Arial" w:cs="Arial"/>
        <w:noProof/>
        <w:sz w:val="20"/>
        <w:szCs w:val="22"/>
      </w:rPr>
      <w:t>3</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8197" w14:textId="77777777" w:rsidR="00105EAE" w:rsidRDefault="00105EAE">
      <w:r>
        <w:separator/>
      </w:r>
    </w:p>
  </w:footnote>
  <w:footnote w:type="continuationSeparator" w:id="0">
    <w:p w14:paraId="1C623114" w14:textId="77777777" w:rsidR="00105EAE" w:rsidRDefault="0010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9C42914"/>
    <w:lvl w:ilvl="0">
      <w:numFmt w:val="bullet"/>
      <w:lvlText w:val="*"/>
      <w:lvlJc w:val="left"/>
    </w:lvl>
  </w:abstractNum>
  <w:abstractNum w:abstractNumId="2" w15:restartNumberingAfterBreak="0">
    <w:nsid w:val="086B31AB"/>
    <w:multiLevelType w:val="hybridMultilevel"/>
    <w:tmpl w:val="5ECAF2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89861DA"/>
    <w:multiLevelType w:val="hybridMultilevel"/>
    <w:tmpl w:val="639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3707A"/>
    <w:multiLevelType w:val="hybridMultilevel"/>
    <w:tmpl w:val="9926D270"/>
    <w:lvl w:ilvl="0" w:tplc="B9104EC2">
      <w:start w:val="1"/>
      <w:numFmt w:val="bullet"/>
      <w:lvlText w:val=""/>
      <w:lvlJc w:val="left"/>
      <w:pPr>
        <w:tabs>
          <w:tab w:val="num" w:pos="720"/>
        </w:tabs>
        <w:ind w:left="720" w:hanging="360"/>
      </w:pPr>
      <w:rPr>
        <w:rFonts w:ascii="Symbol" w:hAnsi="Symbol" w:hint="default"/>
      </w:rPr>
    </w:lvl>
    <w:lvl w:ilvl="1" w:tplc="E1F2980A" w:tentative="1">
      <w:start w:val="1"/>
      <w:numFmt w:val="bullet"/>
      <w:lvlText w:val=""/>
      <w:lvlJc w:val="left"/>
      <w:pPr>
        <w:tabs>
          <w:tab w:val="num" w:pos="1440"/>
        </w:tabs>
        <w:ind w:left="1440" w:hanging="360"/>
      </w:pPr>
      <w:rPr>
        <w:rFonts w:ascii="Symbol" w:hAnsi="Symbol" w:hint="default"/>
      </w:rPr>
    </w:lvl>
    <w:lvl w:ilvl="2" w:tplc="514892B0" w:tentative="1">
      <w:start w:val="1"/>
      <w:numFmt w:val="bullet"/>
      <w:lvlText w:val=""/>
      <w:lvlJc w:val="left"/>
      <w:pPr>
        <w:tabs>
          <w:tab w:val="num" w:pos="2160"/>
        </w:tabs>
        <w:ind w:left="2160" w:hanging="360"/>
      </w:pPr>
      <w:rPr>
        <w:rFonts w:ascii="Symbol" w:hAnsi="Symbol" w:hint="default"/>
      </w:rPr>
    </w:lvl>
    <w:lvl w:ilvl="3" w:tplc="E432E52A" w:tentative="1">
      <w:start w:val="1"/>
      <w:numFmt w:val="bullet"/>
      <w:lvlText w:val=""/>
      <w:lvlJc w:val="left"/>
      <w:pPr>
        <w:tabs>
          <w:tab w:val="num" w:pos="2880"/>
        </w:tabs>
        <w:ind w:left="2880" w:hanging="360"/>
      </w:pPr>
      <w:rPr>
        <w:rFonts w:ascii="Symbol" w:hAnsi="Symbol" w:hint="default"/>
      </w:rPr>
    </w:lvl>
    <w:lvl w:ilvl="4" w:tplc="20D27064" w:tentative="1">
      <w:start w:val="1"/>
      <w:numFmt w:val="bullet"/>
      <w:lvlText w:val=""/>
      <w:lvlJc w:val="left"/>
      <w:pPr>
        <w:tabs>
          <w:tab w:val="num" w:pos="3600"/>
        </w:tabs>
        <w:ind w:left="3600" w:hanging="360"/>
      </w:pPr>
      <w:rPr>
        <w:rFonts w:ascii="Symbol" w:hAnsi="Symbol" w:hint="default"/>
      </w:rPr>
    </w:lvl>
    <w:lvl w:ilvl="5" w:tplc="2F2E6F60" w:tentative="1">
      <w:start w:val="1"/>
      <w:numFmt w:val="bullet"/>
      <w:lvlText w:val=""/>
      <w:lvlJc w:val="left"/>
      <w:pPr>
        <w:tabs>
          <w:tab w:val="num" w:pos="4320"/>
        </w:tabs>
        <w:ind w:left="4320" w:hanging="360"/>
      </w:pPr>
      <w:rPr>
        <w:rFonts w:ascii="Symbol" w:hAnsi="Symbol" w:hint="default"/>
      </w:rPr>
    </w:lvl>
    <w:lvl w:ilvl="6" w:tplc="3F36524C" w:tentative="1">
      <w:start w:val="1"/>
      <w:numFmt w:val="bullet"/>
      <w:lvlText w:val=""/>
      <w:lvlJc w:val="left"/>
      <w:pPr>
        <w:tabs>
          <w:tab w:val="num" w:pos="5040"/>
        </w:tabs>
        <w:ind w:left="5040" w:hanging="360"/>
      </w:pPr>
      <w:rPr>
        <w:rFonts w:ascii="Symbol" w:hAnsi="Symbol" w:hint="default"/>
      </w:rPr>
    </w:lvl>
    <w:lvl w:ilvl="7" w:tplc="AEC2F910" w:tentative="1">
      <w:start w:val="1"/>
      <w:numFmt w:val="bullet"/>
      <w:lvlText w:val=""/>
      <w:lvlJc w:val="left"/>
      <w:pPr>
        <w:tabs>
          <w:tab w:val="num" w:pos="5760"/>
        </w:tabs>
        <w:ind w:left="5760" w:hanging="360"/>
      </w:pPr>
      <w:rPr>
        <w:rFonts w:ascii="Symbol" w:hAnsi="Symbol" w:hint="default"/>
      </w:rPr>
    </w:lvl>
    <w:lvl w:ilvl="8" w:tplc="89761C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B66"/>
    <w:multiLevelType w:val="hybridMultilevel"/>
    <w:tmpl w:val="E25C884E"/>
    <w:lvl w:ilvl="0" w:tplc="C1FC8210">
      <w:start w:val="1"/>
      <w:numFmt w:val="bullet"/>
      <w:lvlText w:val=""/>
      <w:lvlJc w:val="left"/>
      <w:pPr>
        <w:tabs>
          <w:tab w:val="num" w:pos="720"/>
        </w:tabs>
        <w:ind w:left="720" w:hanging="360"/>
      </w:pPr>
      <w:rPr>
        <w:rFonts w:ascii="Symbol" w:hAnsi="Symbol" w:hint="default"/>
      </w:rPr>
    </w:lvl>
    <w:lvl w:ilvl="1" w:tplc="33F2470C" w:tentative="1">
      <w:start w:val="1"/>
      <w:numFmt w:val="bullet"/>
      <w:lvlText w:val=""/>
      <w:lvlJc w:val="left"/>
      <w:pPr>
        <w:tabs>
          <w:tab w:val="num" w:pos="1440"/>
        </w:tabs>
        <w:ind w:left="1440" w:hanging="360"/>
      </w:pPr>
      <w:rPr>
        <w:rFonts w:ascii="Symbol" w:hAnsi="Symbol" w:hint="default"/>
      </w:rPr>
    </w:lvl>
    <w:lvl w:ilvl="2" w:tplc="2A1E239C" w:tentative="1">
      <w:start w:val="1"/>
      <w:numFmt w:val="bullet"/>
      <w:lvlText w:val=""/>
      <w:lvlJc w:val="left"/>
      <w:pPr>
        <w:tabs>
          <w:tab w:val="num" w:pos="2160"/>
        </w:tabs>
        <w:ind w:left="2160" w:hanging="360"/>
      </w:pPr>
      <w:rPr>
        <w:rFonts w:ascii="Symbol" w:hAnsi="Symbol" w:hint="default"/>
      </w:rPr>
    </w:lvl>
    <w:lvl w:ilvl="3" w:tplc="652847B6" w:tentative="1">
      <w:start w:val="1"/>
      <w:numFmt w:val="bullet"/>
      <w:lvlText w:val=""/>
      <w:lvlJc w:val="left"/>
      <w:pPr>
        <w:tabs>
          <w:tab w:val="num" w:pos="2880"/>
        </w:tabs>
        <w:ind w:left="2880" w:hanging="360"/>
      </w:pPr>
      <w:rPr>
        <w:rFonts w:ascii="Symbol" w:hAnsi="Symbol" w:hint="default"/>
      </w:rPr>
    </w:lvl>
    <w:lvl w:ilvl="4" w:tplc="A74EC5B0" w:tentative="1">
      <w:start w:val="1"/>
      <w:numFmt w:val="bullet"/>
      <w:lvlText w:val=""/>
      <w:lvlJc w:val="left"/>
      <w:pPr>
        <w:tabs>
          <w:tab w:val="num" w:pos="3600"/>
        </w:tabs>
        <w:ind w:left="3600" w:hanging="360"/>
      </w:pPr>
      <w:rPr>
        <w:rFonts w:ascii="Symbol" w:hAnsi="Symbol" w:hint="default"/>
      </w:rPr>
    </w:lvl>
    <w:lvl w:ilvl="5" w:tplc="6DB2B0D4" w:tentative="1">
      <w:start w:val="1"/>
      <w:numFmt w:val="bullet"/>
      <w:lvlText w:val=""/>
      <w:lvlJc w:val="left"/>
      <w:pPr>
        <w:tabs>
          <w:tab w:val="num" w:pos="4320"/>
        </w:tabs>
        <w:ind w:left="4320" w:hanging="360"/>
      </w:pPr>
      <w:rPr>
        <w:rFonts w:ascii="Symbol" w:hAnsi="Symbol" w:hint="default"/>
      </w:rPr>
    </w:lvl>
    <w:lvl w:ilvl="6" w:tplc="260013AE" w:tentative="1">
      <w:start w:val="1"/>
      <w:numFmt w:val="bullet"/>
      <w:lvlText w:val=""/>
      <w:lvlJc w:val="left"/>
      <w:pPr>
        <w:tabs>
          <w:tab w:val="num" w:pos="5040"/>
        </w:tabs>
        <w:ind w:left="5040" w:hanging="360"/>
      </w:pPr>
      <w:rPr>
        <w:rFonts w:ascii="Symbol" w:hAnsi="Symbol" w:hint="default"/>
      </w:rPr>
    </w:lvl>
    <w:lvl w:ilvl="7" w:tplc="51BC10B6" w:tentative="1">
      <w:start w:val="1"/>
      <w:numFmt w:val="bullet"/>
      <w:lvlText w:val=""/>
      <w:lvlJc w:val="left"/>
      <w:pPr>
        <w:tabs>
          <w:tab w:val="num" w:pos="5760"/>
        </w:tabs>
        <w:ind w:left="5760" w:hanging="360"/>
      </w:pPr>
      <w:rPr>
        <w:rFonts w:ascii="Symbol" w:hAnsi="Symbol" w:hint="default"/>
      </w:rPr>
    </w:lvl>
    <w:lvl w:ilvl="8" w:tplc="52CA6D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DD26BF"/>
    <w:multiLevelType w:val="hybridMultilevel"/>
    <w:tmpl w:val="8DDA72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51F6E08"/>
    <w:multiLevelType w:val="hybridMultilevel"/>
    <w:tmpl w:val="C7C8F4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E4A35E0"/>
    <w:multiLevelType w:val="hybridMultilevel"/>
    <w:tmpl w:val="0D8887A2"/>
    <w:lvl w:ilvl="0" w:tplc="F86CDA24">
      <w:start w:val="1"/>
      <w:numFmt w:val="bullet"/>
      <w:lvlText w:val=""/>
      <w:lvlJc w:val="left"/>
      <w:pPr>
        <w:tabs>
          <w:tab w:val="num" w:pos="720"/>
        </w:tabs>
        <w:ind w:left="720" w:hanging="360"/>
      </w:pPr>
      <w:rPr>
        <w:rFonts w:ascii="Symbol" w:hAnsi="Symbol" w:hint="default"/>
      </w:rPr>
    </w:lvl>
    <w:lvl w:ilvl="1" w:tplc="3E129318" w:tentative="1">
      <w:start w:val="1"/>
      <w:numFmt w:val="bullet"/>
      <w:lvlText w:val=""/>
      <w:lvlJc w:val="left"/>
      <w:pPr>
        <w:tabs>
          <w:tab w:val="num" w:pos="1440"/>
        </w:tabs>
        <w:ind w:left="1440" w:hanging="360"/>
      </w:pPr>
      <w:rPr>
        <w:rFonts w:ascii="Symbol" w:hAnsi="Symbol" w:hint="default"/>
      </w:rPr>
    </w:lvl>
    <w:lvl w:ilvl="2" w:tplc="8EDE3FF8" w:tentative="1">
      <w:start w:val="1"/>
      <w:numFmt w:val="bullet"/>
      <w:lvlText w:val=""/>
      <w:lvlJc w:val="left"/>
      <w:pPr>
        <w:tabs>
          <w:tab w:val="num" w:pos="2160"/>
        </w:tabs>
        <w:ind w:left="2160" w:hanging="360"/>
      </w:pPr>
      <w:rPr>
        <w:rFonts w:ascii="Symbol" w:hAnsi="Symbol" w:hint="default"/>
      </w:rPr>
    </w:lvl>
    <w:lvl w:ilvl="3" w:tplc="7F1CB940" w:tentative="1">
      <w:start w:val="1"/>
      <w:numFmt w:val="bullet"/>
      <w:lvlText w:val=""/>
      <w:lvlJc w:val="left"/>
      <w:pPr>
        <w:tabs>
          <w:tab w:val="num" w:pos="2880"/>
        </w:tabs>
        <w:ind w:left="2880" w:hanging="360"/>
      </w:pPr>
      <w:rPr>
        <w:rFonts w:ascii="Symbol" w:hAnsi="Symbol" w:hint="default"/>
      </w:rPr>
    </w:lvl>
    <w:lvl w:ilvl="4" w:tplc="3F60B618" w:tentative="1">
      <w:start w:val="1"/>
      <w:numFmt w:val="bullet"/>
      <w:lvlText w:val=""/>
      <w:lvlJc w:val="left"/>
      <w:pPr>
        <w:tabs>
          <w:tab w:val="num" w:pos="3600"/>
        </w:tabs>
        <w:ind w:left="3600" w:hanging="360"/>
      </w:pPr>
      <w:rPr>
        <w:rFonts w:ascii="Symbol" w:hAnsi="Symbol" w:hint="default"/>
      </w:rPr>
    </w:lvl>
    <w:lvl w:ilvl="5" w:tplc="476C61DC" w:tentative="1">
      <w:start w:val="1"/>
      <w:numFmt w:val="bullet"/>
      <w:lvlText w:val=""/>
      <w:lvlJc w:val="left"/>
      <w:pPr>
        <w:tabs>
          <w:tab w:val="num" w:pos="4320"/>
        </w:tabs>
        <w:ind w:left="4320" w:hanging="360"/>
      </w:pPr>
      <w:rPr>
        <w:rFonts w:ascii="Symbol" w:hAnsi="Symbol" w:hint="default"/>
      </w:rPr>
    </w:lvl>
    <w:lvl w:ilvl="6" w:tplc="91D89A30" w:tentative="1">
      <w:start w:val="1"/>
      <w:numFmt w:val="bullet"/>
      <w:lvlText w:val=""/>
      <w:lvlJc w:val="left"/>
      <w:pPr>
        <w:tabs>
          <w:tab w:val="num" w:pos="5040"/>
        </w:tabs>
        <w:ind w:left="5040" w:hanging="360"/>
      </w:pPr>
      <w:rPr>
        <w:rFonts w:ascii="Symbol" w:hAnsi="Symbol" w:hint="default"/>
      </w:rPr>
    </w:lvl>
    <w:lvl w:ilvl="7" w:tplc="BB3CA554" w:tentative="1">
      <w:start w:val="1"/>
      <w:numFmt w:val="bullet"/>
      <w:lvlText w:val=""/>
      <w:lvlJc w:val="left"/>
      <w:pPr>
        <w:tabs>
          <w:tab w:val="num" w:pos="5760"/>
        </w:tabs>
        <w:ind w:left="5760" w:hanging="360"/>
      </w:pPr>
      <w:rPr>
        <w:rFonts w:ascii="Symbol" w:hAnsi="Symbol" w:hint="default"/>
      </w:rPr>
    </w:lvl>
    <w:lvl w:ilvl="8" w:tplc="08FAB5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0BD20C5"/>
    <w:multiLevelType w:val="hybridMultilevel"/>
    <w:tmpl w:val="CB1EF5FE"/>
    <w:lvl w:ilvl="0" w:tplc="DD08016C">
      <w:start w:val="1"/>
      <w:numFmt w:val="bullet"/>
      <w:lvlText w:val=""/>
      <w:lvlJc w:val="left"/>
      <w:pPr>
        <w:tabs>
          <w:tab w:val="num" w:pos="720"/>
        </w:tabs>
        <w:ind w:left="720" w:hanging="360"/>
      </w:pPr>
      <w:rPr>
        <w:rFonts w:ascii="Symbol" w:hAnsi="Symbol" w:hint="default"/>
      </w:rPr>
    </w:lvl>
    <w:lvl w:ilvl="1" w:tplc="E1D08B08" w:tentative="1">
      <w:start w:val="1"/>
      <w:numFmt w:val="bullet"/>
      <w:lvlText w:val=""/>
      <w:lvlJc w:val="left"/>
      <w:pPr>
        <w:tabs>
          <w:tab w:val="num" w:pos="1440"/>
        </w:tabs>
        <w:ind w:left="1440" w:hanging="360"/>
      </w:pPr>
      <w:rPr>
        <w:rFonts w:ascii="Symbol" w:hAnsi="Symbol" w:hint="default"/>
      </w:rPr>
    </w:lvl>
    <w:lvl w:ilvl="2" w:tplc="2C480CD4" w:tentative="1">
      <w:start w:val="1"/>
      <w:numFmt w:val="bullet"/>
      <w:lvlText w:val=""/>
      <w:lvlJc w:val="left"/>
      <w:pPr>
        <w:tabs>
          <w:tab w:val="num" w:pos="2160"/>
        </w:tabs>
        <w:ind w:left="2160" w:hanging="360"/>
      </w:pPr>
      <w:rPr>
        <w:rFonts w:ascii="Symbol" w:hAnsi="Symbol" w:hint="default"/>
      </w:rPr>
    </w:lvl>
    <w:lvl w:ilvl="3" w:tplc="A522843E" w:tentative="1">
      <w:start w:val="1"/>
      <w:numFmt w:val="bullet"/>
      <w:lvlText w:val=""/>
      <w:lvlJc w:val="left"/>
      <w:pPr>
        <w:tabs>
          <w:tab w:val="num" w:pos="2880"/>
        </w:tabs>
        <w:ind w:left="2880" w:hanging="360"/>
      </w:pPr>
      <w:rPr>
        <w:rFonts w:ascii="Symbol" w:hAnsi="Symbol" w:hint="default"/>
      </w:rPr>
    </w:lvl>
    <w:lvl w:ilvl="4" w:tplc="D6843A66" w:tentative="1">
      <w:start w:val="1"/>
      <w:numFmt w:val="bullet"/>
      <w:lvlText w:val=""/>
      <w:lvlJc w:val="left"/>
      <w:pPr>
        <w:tabs>
          <w:tab w:val="num" w:pos="3600"/>
        </w:tabs>
        <w:ind w:left="3600" w:hanging="360"/>
      </w:pPr>
      <w:rPr>
        <w:rFonts w:ascii="Symbol" w:hAnsi="Symbol" w:hint="default"/>
      </w:rPr>
    </w:lvl>
    <w:lvl w:ilvl="5" w:tplc="CE7A92B8" w:tentative="1">
      <w:start w:val="1"/>
      <w:numFmt w:val="bullet"/>
      <w:lvlText w:val=""/>
      <w:lvlJc w:val="left"/>
      <w:pPr>
        <w:tabs>
          <w:tab w:val="num" w:pos="4320"/>
        </w:tabs>
        <w:ind w:left="4320" w:hanging="360"/>
      </w:pPr>
      <w:rPr>
        <w:rFonts w:ascii="Symbol" w:hAnsi="Symbol" w:hint="default"/>
      </w:rPr>
    </w:lvl>
    <w:lvl w:ilvl="6" w:tplc="3C5E2DB4" w:tentative="1">
      <w:start w:val="1"/>
      <w:numFmt w:val="bullet"/>
      <w:lvlText w:val=""/>
      <w:lvlJc w:val="left"/>
      <w:pPr>
        <w:tabs>
          <w:tab w:val="num" w:pos="5040"/>
        </w:tabs>
        <w:ind w:left="5040" w:hanging="360"/>
      </w:pPr>
      <w:rPr>
        <w:rFonts w:ascii="Symbol" w:hAnsi="Symbol" w:hint="default"/>
      </w:rPr>
    </w:lvl>
    <w:lvl w:ilvl="7" w:tplc="C5D067AC" w:tentative="1">
      <w:start w:val="1"/>
      <w:numFmt w:val="bullet"/>
      <w:lvlText w:val=""/>
      <w:lvlJc w:val="left"/>
      <w:pPr>
        <w:tabs>
          <w:tab w:val="num" w:pos="5760"/>
        </w:tabs>
        <w:ind w:left="5760" w:hanging="360"/>
      </w:pPr>
      <w:rPr>
        <w:rFonts w:ascii="Symbol" w:hAnsi="Symbol" w:hint="default"/>
      </w:rPr>
    </w:lvl>
    <w:lvl w:ilvl="8" w:tplc="98F2F6B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262804F3"/>
    <w:multiLevelType w:val="hybridMultilevel"/>
    <w:tmpl w:val="240A00E8"/>
    <w:lvl w:ilvl="0" w:tplc="0C0EBD50">
      <w:start w:val="1"/>
      <w:numFmt w:val="bullet"/>
      <w:lvlText w:val=""/>
      <w:lvlJc w:val="left"/>
      <w:pPr>
        <w:tabs>
          <w:tab w:val="num" w:pos="720"/>
        </w:tabs>
        <w:ind w:left="720" w:hanging="360"/>
      </w:pPr>
      <w:rPr>
        <w:rFonts w:ascii="Symbol" w:hAnsi="Symbol" w:hint="default"/>
      </w:rPr>
    </w:lvl>
    <w:lvl w:ilvl="1" w:tplc="591AD35A" w:tentative="1">
      <w:start w:val="1"/>
      <w:numFmt w:val="bullet"/>
      <w:lvlText w:val=""/>
      <w:lvlJc w:val="left"/>
      <w:pPr>
        <w:tabs>
          <w:tab w:val="num" w:pos="1440"/>
        </w:tabs>
        <w:ind w:left="1440" w:hanging="360"/>
      </w:pPr>
      <w:rPr>
        <w:rFonts w:ascii="Symbol" w:hAnsi="Symbol" w:hint="default"/>
      </w:rPr>
    </w:lvl>
    <w:lvl w:ilvl="2" w:tplc="E26AAF68" w:tentative="1">
      <w:start w:val="1"/>
      <w:numFmt w:val="bullet"/>
      <w:lvlText w:val=""/>
      <w:lvlJc w:val="left"/>
      <w:pPr>
        <w:tabs>
          <w:tab w:val="num" w:pos="2160"/>
        </w:tabs>
        <w:ind w:left="2160" w:hanging="360"/>
      </w:pPr>
      <w:rPr>
        <w:rFonts w:ascii="Symbol" w:hAnsi="Symbol" w:hint="default"/>
      </w:rPr>
    </w:lvl>
    <w:lvl w:ilvl="3" w:tplc="949C9C62" w:tentative="1">
      <w:start w:val="1"/>
      <w:numFmt w:val="bullet"/>
      <w:lvlText w:val=""/>
      <w:lvlJc w:val="left"/>
      <w:pPr>
        <w:tabs>
          <w:tab w:val="num" w:pos="2880"/>
        </w:tabs>
        <w:ind w:left="2880" w:hanging="360"/>
      </w:pPr>
      <w:rPr>
        <w:rFonts w:ascii="Symbol" w:hAnsi="Symbol" w:hint="default"/>
      </w:rPr>
    </w:lvl>
    <w:lvl w:ilvl="4" w:tplc="0240C484" w:tentative="1">
      <w:start w:val="1"/>
      <w:numFmt w:val="bullet"/>
      <w:lvlText w:val=""/>
      <w:lvlJc w:val="left"/>
      <w:pPr>
        <w:tabs>
          <w:tab w:val="num" w:pos="3600"/>
        </w:tabs>
        <w:ind w:left="3600" w:hanging="360"/>
      </w:pPr>
      <w:rPr>
        <w:rFonts w:ascii="Symbol" w:hAnsi="Symbol" w:hint="default"/>
      </w:rPr>
    </w:lvl>
    <w:lvl w:ilvl="5" w:tplc="95A8CB78" w:tentative="1">
      <w:start w:val="1"/>
      <w:numFmt w:val="bullet"/>
      <w:lvlText w:val=""/>
      <w:lvlJc w:val="left"/>
      <w:pPr>
        <w:tabs>
          <w:tab w:val="num" w:pos="4320"/>
        </w:tabs>
        <w:ind w:left="4320" w:hanging="360"/>
      </w:pPr>
      <w:rPr>
        <w:rFonts w:ascii="Symbol" w:hAnsi="Symbol" w:hint="default"/>
      </w:rPr>
    </w:lvl>
    <w:lvl w:ilvl="6" w:tplc="31063DDC" w:tentative="1">
      <w:start w:val="1"/>
      <w:numFmt w:val="bullet"/>
      <w:lvlText w:val=""/>
      <w:lvlJc w:val="left"/>
      <w:pPr>
        <w:tabs>
          <w:tab w:val="num" w:pos="5040"/>
        </w:tabs>
        <w:ind w:left="5040" w:hanging="360"/>
      </w:pPr>
      <w:rPr>
        <w:rFonts w:ascii="Symbol" w:hAnsi="Symbol" w:hint="default"/>
      </w:rPr>
    </w:lvl>
    <w:lvl w:ilvl="7" w:tplc="7C984DC6" w:tentative="1">
      <w:start w:val="1"/>
      <w:numFmt w:val="bullet"/>
      <w:lvlText w:val=""/>
      <w:lvlJc w:val="left"/>
      <w:pPr>
        <w:tabs>
          <w:tab w:val="num" w:pos="5760"/>
        </w:tabs>
        <w:ind w:left="5760" w:hanging="360"/>
      </w:pPr>
      <w:rPr>
        <w:rFonts w:ascii="Symbol" w:hAnsi="Symbol" w:hint="default"/>
      </w:rPr>
    </w:lvl>
    <w:lvl w:ilvl="8" w:tplc="3236C2F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9DB7B75"/>
    <w:multiLevelType w:val="hybridMultilevel"/>
    <w:tmpl w:val="124EA0DA"/>
    <w:lvl w:ilvl="0" w:tplc="38E65B80">
      <w:start w:val="1"/>
      <w:numFmt w:val="bullet"/>
      <w:lvlText w:val=""/>
      <w:lvlJc w:val="left"/>
      <w:pPr>
        <w:tabs>
          <w:tab w:val="num" w:pos="720"/>
        </w:tabs>
        <w:ind w:left="720" w:hanging="360"/>
      </w:pPr>
      <w:rPr>
        <w:rFonts w:ascii="Symbol" w:hAnsi="Symbol" w:hint="default"/>
      </w:rPr>
    </w:lvl>
    <w:lvl w:ilvl="1" w:tplc="CBAC0042" w:tentative="1">
      <w:start w:val="1"/>
      <w:numFmt w:val="bullet"/>
      <w:lvlText w:val=""/>
      <w:lvlJc w:val="left"/>
      <w:pPr>
        <w:tabs>
          <w:tab w:val="num" w:pos="1440"/>
        </w:tabs>
        <w:ind w:left="1440" w:hanging="360"/>
      </w:pPr>
      <w:rPr>
        <w:rFonts w:ascii="Symbol" w:hAnsi="Symbol" w:hint="default"/>
      </w:rPr>
    </w:lvl>
    <w:lvl w:ilvl="2" w:tplc="1DC09A70" w:tentative="1">
      <w:start w:val="1"/>
      <w:numFmt w:val="bullet"/>
      <w:lvlText w:val=""/>
      <w:lvlJc w:val="left"/>
      <w:pPr>
        <w:tabs>
          <w:tab w:val="num" w:pos="2160"/>
        </w:tabs>
        <w:ind w:left="2160" w:hanging="360"/>
      </w:pPr>
      <w:rPr>
        <w:rFonts w:ascii="Symbol" w:hAnsi="Symbol" w:hint="default"/>
      </w:rPr>
    </w:lvl>
    <w:lvl w:ilvl="3" w:tplc="2CF87A20" w:tentative="1">
      <w:start w:val="1"/>
      <w:numFmt w:val="bullet"/>
      <w:lvlText w:val=""/>
      <w:lvlJc w:val="left"/>
      <w:pPr>
        <w:tabs>
          <w:tab w:val="num" w:pos="2880"/>
        </w:tabs>
        <w:ind w:left="2880" w:hanging="360"/>
      </w:pPr>
      <w:rPr>
        <w:rFonts w:ascii="Symbol" w:hAnsi="Symbol" w:hint="default"/>
      </w:rPr>
    </w:lvl>
    <w:lvl w:ilvl="4" w:tplc="7A628A90" w:tentative="1">
      <w:start w:val="1"/>
      <w:numFmt w:val="bullet"/>
      <w:lvlText w:val=""/>
      <w:lvlJc w:val="left"/>
      <w:pPr>
        <w:tabs>
          <w:tab w:val="num" w:pos="3600"/>
        </w:tabs>
        <w:ind w:left="3600" w:hanging="360"/>
      </w:pPr>
      <w:rPr>
        <w:rFonts w:ascii="Symbol" w:hAnsi="Symbol" w:hint="default"/>
      </w:rPr>
    </w:lvl>
    <w:lvl w:ilvl="5" w:tplc="4E2681A2" w:tentative="1">
      <w:start w:val="1"/>
      <w:numFmt w:val="bullet"/>
      <w:lvlText w:val=""/>
      <w:lvlJc w:val="left"/>
      <w:pPr>
        <w:tabs>
          <w:tab w:val="num" w:pos="4320"/>
        </w:tabs>
        <w:ind w:left="4320" w:hanging="360"/>
      </w:pPr>
      <w:rPr>
        <w:rFonts w:ascii="Symbol" w:hAnsi="Symbol" w:hint="default"/>
      </w:rPr>
    </w:lvl>
    <w:lvl w:ilvl="6" w:tplc="C46ACE38" w:tentative="1">
      <w:start w:val="1"/>
      <w:numFmt w:val="bullet"/>
      <w:lvlText w:val=""/>
      <w:lvlJc w:val="left"/>
      <w:pPr>
        <w:tabs>
          <w:tab w:val="num" w:pos="5040"/>
        </w:tabs>
        <w:ind w:left="5040" w:hanging="360"/>
      </w:pPr>
      <w:rPr>
        <w:rFonts w:ascii="Symbol" w:hAnsi="Symbol" w:hint="default"/>
      </w:rPr>
    </w:lvl>
    <w:lvl w:ilvl="7" w:tplc="AE8226F4" w:tentative="1">
      <w:start w:val="1"/>
      <w:numFmt w:val="bullet"/>
      <w:lvlText w:val=""/>
      <w:lvlJc w:val="left"/>
      <w:pPr>
        <w:tabs>
          <w:tab w:val="num" w:pos="5760"/>
        </w:tabs>
        <w:ind w:left="5760" w:hanging="360"/>
      </w:pPr>
      <w:rPr>
        <w:rFonts w:ascii="Symbol" w:hAnsi="Symbol" w:hint="default"/>
      </w:rPr>
    </w:lvl>
    <w:lvl w:ilvl="8" w:tplc="D7D80D5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44A2B0C"/>
    <w:multiLevelType w:val="hybridMultilevel"/>
    <w:tmpl w:val="3774E1CC"/>
    <w:lvl w:ilvl="0" w:tplc="FF20FA0E">
      <w:start w:val="1"/>
      <w:numFmt w:val="bullet"/>
      <w:lvlText w:val=""/>
      <w:lvlJc w:val="left"/>
      <w:pPr>
        <w:tabs>
          <w:tab w:val="num" w:pos="720"/>
        </w:tabs>
        <w:ind w:left="720" w:hanging="360"/>
      </w:pPr>
      <w:rPr>
        <w:rFonts w:ascii="Symbol" w:hAnsi="Symbol" w:hint="default"/>
      </w:rPr>
    </w:lvl>
    <w:lvl w:ilvl="1" w:tplc="AA40D8EA" w:tentative="1">
      <w:start w:val="1"/>
      <w:numFmt w:val="bullet"/>
      <w:lvlText w:val=""/>
      <w:lvlJc w:val="left"/>
      <w:pPr>
        <w:tabs>
          <w:tab w:val="num" w:pos="1440"/>
        </w:tabs>
        <w:ind w:left="1440" w:hanging="360"/>
      </w:pPr>
      <w:rPr>
        <w:rFonts w:ascii="Symbol" w:hAnsi="Symbol" w:hint="default"/>
      </w:rPr>
    </w:lvl>
    <w:lvl w:ilvl="2" w:tplc="26669F0A" w:tentative="1">
      <w:start w:val="1"/>
      <w:numFmt w:val="bullet"/>
      <w:lvlText w:val=""/>
      <w:lvlJc w:val="left"/>
      <w:pPr>
        <w:tabs>
          <w:tab w:val="num" w:pos="2160"/>
        </w:tabs>
        <w:ind w:left="2160" w:hanging="360"/>
      </w:pPr>
      <w:rPr>
        <w:rFonts w:ascii="Symbol" w:hAnsi="Symbol" w:hint="default"/>
      </w:rPr>
    </w:lvl>
    <w:lvl w:ilvl="3" w:tplc="B32A064A" w:tentative="1">
      <w:start w:val="1"/>
      <w:numFmt w:val="bullet"/>
      <w:lvlText w:val=""/>
      <w:lvlJc w:val="left"/>
      <w:pPr>
        <w:tabs>
          <w:tab w:val="num" w:pos="2880"/>
        </w:tabs>
        <w:ind w:left="2880" w:hanging="360"/>
      </w:pPr>
      <w:rPr>
        <w:rFonts w:ascii="Symbol" w:hAnsi="Symbol" w:hint="default"/>
      </w:rPr>
    </w:lvl>
    <w:lvl w:ilvl="4" w:tplc="8940F032" w:tentative="1">
      <w:start w:val="1"/>
      <w:numFmt w:val="bullet"/>
      <w:lvlText w:val=""/>
      <w:lvlJc w:val="left"/>
      <w:pPr>
        <w:tabs>
          <w:tab w:val="num" w:pos="3600"/>
        </w:tabs>
        <w:ind w:left="3600" w:hanging="360"/>
      </w:pPr>
      <w:rPr>
        <w:rFonts w:ascii="Symbol" w:hAnsi="Symbol" w:hint="default"/>
      </w:rPr>
    </w:lvl>
    <w:lvl w:ilvl="5" w:tplc="6764F198" w:tentative="1">
      <w:start w:val="1"/>
      <w:numFmt w:val="bullet"/>
      <w:lvlText w:val=""/>
      <w:lvlJc w:val="left"/>
      <w:pPr>
        <w:tabs>
          <w:tab w:val="num" w:pos="4320"/>
        </w:tabs>
        <w:ind w:left="4320" w:hanging="360"/>
      </w:pPr>
      <w:rPr>
        <w:rFonts w:ascii="Symbol" w:hAnsi="Symbol" w:hint="default"/>
      </w:rPr>
    </w:lvl>
    <w:lvl w:ilvl="6" w:tplc="1958C79E" w:tentative="1">
      <w:start w:val="1"/>
      <w:numFmt w:val="bullet"/>
      <w:lvlText w:val=""/>
      <w:lvlJc w:val="left"/>
      <w:pPr>
        <w:tabs>
          <w:tab w:val="num" w:pos="5040"/>
        </w:tabs>
        <w:ind w:left="5040" w:hanging="360"/>
      </w:pPr>
      <w:rPr>
        <w:rFonts w:ascii="Symbol" w:hAnsi="Symbol" w:hint="default"/>
      </w:rPr>
    </w:lvl>
    <w:lvl w:ilvl="7" w:tplc="9F3C58B0" w:tentative="1">
      <w:start w:val="1"/>
      <w:numFmt w:val="bullet"/>
      <w:lvlText w:val=""/>
      <w:lvlJc w:val="left"/>
      <w:pPr>
        <w:tabs>
          <w:tab w:val="num" w:pos="5760"/>
        </w:tabs>
        <w:ind w:left="5760" w:hanging="360"/>
      </w:pPr>
      <w:rPr>
        <w:rFonts w:ascii="Symbol" w:hAnsi="Symbol" w:hint="default"/>
      </w:rPr>
    </w:lvl>
    <w:lvl w:ilvl="8" w:tplc="AEB00CD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FF5A59"/>
    <w:multiLevelType w:val="hybridMultilevel"/>
    <w:tmpl w:val="95488320"/>
    <w:lvl w:ilvl="0" w:tplc="6C4C108E">
      <w:numFmt w:val="bullet"/>
      <w:lvlText w:val="-"/>
      <w:lvlJc w:val="left"/>
      <w:pPr>
        <w:ind w:left="890" w:hanging="360"/>
      </w:pPr>
      <w:rPr>
        <w:rFonts w:ascii="Arial" w:eastAsia="Times New Roman" w:hAnsi="Arial" w:cs="Aria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69048BA"/>
    <w:multiLevelType w:val="hybridMultilevel"/>
    <w:tmpl w:val="B2F04A10"/>
    <w:lvl w:ilvl="0" w:tplc="D0D066B6">
      <w:start w:val="1"/>
      <w:numFmt w:val="bullet"/>
      <w:lvlText w:val=""/>
      <w:lvlJc w:val="left"/>
      <w:pPr>
        <w:tabs>
          <w:tab w:val="num" w:pos="720"/>
        </w:tabs>
        <w:ind w:left="720" w:hanging="360"/>
      </w:pPr>
      <w:rPr>
        <w:rFonts w:ascii="Symbol" w:hAnsi="Symbol" w:hint="default"/>
      </w:rPr>
    </w:lvl>
    <w:lvl w:ilvl="1" w:tplc="D298A70C" w:tentative="1">
      <w:start w:val="1"/>
      <w:numFmt w:val="bullet"/>
      <w:lvlText w:val=""/>
      <w:lvlJc w:val="left"/>
      <w:pPr>
        <w:tabs>
          <w:tab w:val="num" w:pos="1440"/>
        </w:tabs>
        <w:ind w:left="1440" w:hanging="360"/>
      </w:pPr>
      <w:rPr>
        <w:rFonts w:ascii="Symbol" w:hAnsi="Symbol" w:hint="default"/>
      </w:rPr>
    </w:lvl>
    <w:lvl w:ilvl="2" w:tplc="00FC4578" w:tentative="1">
      <w:start w:val="1"/>
      <w:numFmt w:val="bullet"/>
      <w:lvlText w:val=""/>
      <w:lvlJc w:val="left"/>
      <w:pPr>
        <w:tabs>
          <w:tab w:val="num" w:pos="2160"/>
        </w:tabs>
        <w:ind w:left="2160" w:hanging="360"/>
      </w:pPr>
      <w:rPr>
        <w:rFonts w:ascii="Symbol" w:hAnsi="Symbol" w:hint="default"/>
      </w:rPr>
    </w:lvl>
    <w:lvl w:ilvl="3" w:tplc="590A53AA" w:tentative="1">
      <w:start w:val="1"/>
      <w:numFmt w:val="bullet"/>
      <w:lvlText w:val=""/>
      <w:lvlJc w:val="left"/>
      <w:pPr>
        <w:tabs>
          <w:tab w:val="num" w:pos="2880"/>
        </w:tabs>
        <w:ind w:left="2880" w:hanging="360"/>
      </w:pPr>
      <w:rPr>
        <w:rFonts w:ascii="Symbol" w:hAnsi="Symbol" w:hint="default"/>
      </w:rPr>
    </w:lvl>
    <w:lvl w:ilvl="4" w:tplc="F71EDC0A" w:tentative="1">
      <w:start w:val="1"/>
      <w:numFmt w:val="bullet"/>
      <w:lvlText w:val=""/>
      <w:lvlJc w:val="left"/>
      <w:pPr>
        <w:tabs>
          <w:tab w:val="num" w:pos="3600"/>
        </w:tabs>
        <w:ind w:left="3600" w:hanging="360"/>
      </w:pPr>
      <w:rPr>
        <w:rFonts w:ascii="Symbol" w:hAnsi="Symbol" w:hint="default"/>
      </w:rPr>
    </w:lvl>
    <w:lvl w:ilvl="5" w:tplc="F6E6993A" w:tentative="1">
      <w:start w:val="1"/>
      <w:numFmt w:val="bullet"/>
      <w:lvlText w:val=""/>
      <w:lvlJc w:val="left"/>
      <w:pPr>
        <w:tabs>
          <w:tab w:val="num" w:pos="4320"/>
        </w:tabs>
        <w:ind w:left="4320" w:hanging="360"/>
      </w:pPr>
      <w:rPr>
        <w:rFonts w:ascii="Symbol" w:hAnsi="Symbol" w:hint="default"/>
      </w:rPr>
    </w:lvl>
    <w:lvl w:ilvl="6" w:tplc="AA761EB2" w:tentative="1">
      <w:start w:val="1"/>
      <w:numFmt w:val="bullet"/>
      <w:lvlText w:val=""/>
      <w:lvlJc w:val="left"/>
      <w:pPr>
        <w:tabs>
          <w:tab w:val="num" w:pos="5040"/>
        </w:tabs>
        <w:ind w:left="5040" w:hanging="360"/>
      </w:pPr>
      <w:rPr>
        <w:rFonts w:ascii="Symbol" w:hAnsi="Symbol" w:hint="default"/>
      </w:rPr>
    </w:lvl>
    <w:lvl w:ilvl="7" w:tplc="FA6A5D1E" w:tentative="1">
      <w:start w:val="1"/>
      <w:numFmt w:val="bullet"/>
      <w:lvlText w:val=""/>
      <w:lvlJc w:val="left"/>
      <w:pPr>
        <w:tabs>
          <w:tab w:val="num" w:pos="5760"/>
        </w:tabs>
        <w:ind w:left="5760" w:hanging="360"/>
      </w:pPr>
      <w:rPr>
        <w:rFonts w:ascii="Symbol" w:hAnsi="Symbol" w:hint="default"/>
      </w:rPr>
    </w:lvl>
    <w:lvl w:ilvl="8" w:tplc="E48A06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2548E"/>
    <w:multiLevelType w:val="hybridMultilevel"/>
    <w:tmpl w:val="9BE41BDC"/>
    <w:lvl w:ilvl="0" w:tplc="6C4C1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7E23C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835D95"/>
    <w:multiLevelType w:val="hybridMultilevel"/>
    <w:tmpl w:val="B52A8770"/>
    <w:lvl w:ilvl="0" w:tplc="5DA603E8">
      <w:start w:val="1"/>
      <w:numFmt w:val="bullet"/>
      <w:lvlText w:val=""/>
      <w:lvlJc w:val="left"/>
      <w:pPr>
        <w:tabs>
          <w:tab w:val="num" w:pos="720"/>
        </w:tabs>
        <w:ind w:left="720" w:hanging="360"/>
      </w:pPr>
      <w:rPr>
        <w:rFonts w:ascii="Symbol" w:hAnsi="Symbol" w:hint="default"/>
      </w:rPr>
    </w:lvl>
    <w:lvl w:ilvl="1" w:tplc="3E1C1522" w:tentative="1">
      <w:start w:val="1"/>
      <w:numFmt w:val="bullet"/>
      <w:lvlText w:val=""/>
      <w:lvlJc w:val="left"/>
      <w:pPr>
        <w:tabs>
          <w:tab w:val="num" w:pos="1440"/>
        </w:tabs>
        <w:ind w:left="1440" w:hanging="360"/>
      </w:pPr>
      <w:rPr>
        <w:rFonts w:ascii="Symbol" w:hAnsi="Symbol" w:hint="default"/>
      </w:rPr>
    </w:lvl>
    <w:lvl w:ilvl="2" w:tplc="2C18036C" w:tentative="1">
      <w:start w:val="1"/>
      <w:numFmt w:val="bullet"/>
      <w:lvlText w:val=""/>
      <w:lvlJc w:val="left"/>
      <w:pPr>
        <w:tabs>
          <w:tab w:val="num" w:pos="2160"/>
        </w:tabs>
        <w:ind w:left="2160" w:hanging="360"/>
      </w:pPr>
      <w:rPr>
        <w:rFonts w:ascii="Symbol" w:hAnsi="Symbol" w:hint="default"/>
      </w:rPr>
    </w:lvl>
    <w:lvl w:ilvl="3" w:tplc="C270F198" w:tentative="1">
      <w:start w:val="1"/>
      <w:numFmt w:val="bullet"/>
      <w:lvlText w:val=""/>
      <w:lvlJc w:val="left"/>
      <w:pPr>
        <w:tabs>
          <w:tab w:val="num" w:pos="2880"/>
        </w:tabs>
        <w:ind w:left="2880" w:hanging="360"/>
      </w:pPr>
      <w:rPr>
        <w:rFonts w:ascii="Symbol" w:hAnsi="Symbol" w:hint="default"/>
      </w:rPr>
    </w:lvl>
    <w:lvl w:ilvl="4" w:tplc="DA0C7EC4" w:tentative="1">
      <w:start w:val="1"/>
      <w:numFmt w:val="bullet"/>
      <w:lvlText w:val=""/>
      <w:lvlJc w:val="left"/>
      <w:pPr>
        <w:tabs>
          <w:tab w:val="num" w:pos="3600"/>
        </w:tabs>
        <w:ind w:left="3600" w:hanging="360"/>
      </w:pPr>
      <w:rPr>
        <w:rFonts w:ascii="Symbol" w:hAnsi="Symbol" w:hint="default"/>
      </w:rPr>
    </w:lvl>
    <w:lvl w:ilvl="5" w:tplc="AAA28302" w:tentative="1">
      <w:start w:val="1"/>
      <w:numFmt w:val="bullet"/>
      <w:lvlText w:val=""/>
      <w:lvlJc w:val="left"/>
      <w:pPr>
        <w:tabs>
          <w:tab w:val="num" w:pos="4320"/>
        </w:tabs>
        <w:ind w:left="4320" w:hanging="360"/>
      </w:pPr>
      <w:rPr>
        <w:rFonts w:ascii="Symbol" w:hAnsi="Symbol" w:hint="default"/>
      </w:rPr>
    </w:lvl>
    <w:lvl w:ilvl="6" w:tplc="59269686" w:tentative="1">
      <w:start w:val="1"/>
      <w:numFmt w:val="bullet"/>
      <w:lvlText w:val=""/>
      <w:lvlJc w:val="left"/>
      <w:pPr>
        <w:tabs>
          <w:tab w:val="num" w:pos="5040"/>
        </w:tabs>
        <w:ind w:left="5040" w:hanging="360"/>
      </w:pPr>
      <w:rPr>
        <w:rFonts w:ascii="Symbol" w:hAnsi="Symbol" w:hint="default"/>
      </w:rPr>
    </w:lvl>
    <w:lvl w:ilvl="7" w:tplc="FB022244" w:tentative="1">
      <w:start w:val="1"/>
      <w:numFmt w:val="bullet"/>
      <w:lvlText w:val=""/>
      <w:lvlJc w:val="left"/>
      <w:pPr>
        <w:tabs>
          <w:tab w:val="num" w:pos="5760"/>
        </w:tabs>
        <w:ind w:left="5760" w:hanging="360"/>
      </w:pPr>
      <w:rPr>
        <w:rFonts w:ascii="Symbol" w:hAnsi="Symbol" w:hint="default"/>
      </w:rPr>
    </w:lvl>
    <w:lvl w:ilvl="8" w:tplc="F3663F0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1"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8" w15:restartNumberingAfterBreak="0">
    <w:nsid w:val="74A6556D"/>
    <w:multiLevelType w:val="hybridMultilevel"/>
    <w:tmpl w:val="049E5CFA"/>
    <w:lvl w:ilvl="0" w:tplc="53AEBC82">
      <w:start w:val="1"/>
      <w:numFmt w:val="bullet"/>
      <w:lvlText w:val=""/>
      <w:lvlJc w:val="left"/>
      <w:pPr>
        <w:tabs>
          <w:tab w:val="num" w:pos="720"/>
        </w:tabs>
        <w:ind w:left="720" w:hanging="360"/>
      </w:pPr>
      <w:rPr>
        <w:rFonts w:ascii="Symbol" w:hAnsi="Symbol" w:hint="default"/>
      </w:rPr>
    </w:lvl>
    <w:lvl w:ilvl="1" w:tplc="7288689C" w:tentative="1">
      <w:start w:val="1"/>
      <w:numFmt w:val="bullet"/>
      <w:lvlText w:val=""/>
      <w:lvlJc w:val="left"/>
      <w:pPr>
        <w:tabs>
          <w:tab w:val="num" w:pos="1440"/>
        </w:tabs>
        <w:ind w:left="1440" w:hanging="360"/>
      </w:pPr>
      <w:rPr>
        <w:rFonts w:ascii="Symbol" w:hAnsi="Symbol" w:hint="default"/>
      </w:rPr>
    </w:lvl>
    <w:lvl w:ilvl="2" w:tplc="87F2F646" w:tentative="1">
      <w:start w:val="1"/>
      <w:numFmt w:val="bullet"/>
      <w:lvlText w:val=""/>
      <w:lvlJc w:val="left"/>
      <w:pPr>
        <w:tabs>
          <w:tab w:val="num" w:pos="2160"/>
        </w:tabs>
        <w:ind w:left="2160" w:hanging="360"/>
      </w:pPr>
      <w:rPr>
        <w:rFonts w:ascii="Symbol" w:hAnsi="Symbol" w:hint="default"/>
      </w:rPr>
    </w:lvl>
    <w:lvl w:ilvl="3" w:tplc="805CC1EC" w:tentative="1">
      <w:start w:val="1"/>
      <w:numFmt w:val="bullet"/>
      <w:lvlText w:val=""/>
      <w:lvlJc w:val="left"/>
      <w:pPr>
        <w:tabs>
          <w:tab w:val="num" w:pos="2880"/>
        </w:tabs>
        <w:ind w:left="2880" w:hanging="360"/>
      </w:pPr>
      <w:rPr>
        <w:rFonts w:ascii="Symbol" w:hAnsi="Symbol" w:hint="default"/>
      </w:rPr>
    </w:lvl>
    <w:lvl w:ilvl="4" w:tplc="12AA4782" w:tentative="1">
      <w:start w:val="1"/>
      <w:numFmt w:val="bullet"/>
      <w:lvlText w:val=""/>
      <w:lvlJc w:val="left"/>
      <w:pPr>
        <w:tabs>
          <w:tab w:val="num" w:pos="3600"/>
        </w:tabs>
        <w:ind w:left="3600" w:hanging="360"/>
      </w:pPr>
      <w:rPr>
        <w:rFonts w:ascii="Symbol" w:hAnsi="Symbol" w:hint="default"/>
      </w:rPr>
    </w:lvl>
    <w:lvl w:ilvl="5" w:tplc="CA605E30" w:tentative="1">
      <w:start w:val="1"/>
      <w:numFmt w:val="bullet"/>
      <w:lvlText w:val=""/>
      <w:lvlJc w:val="left"/>
      <w:pPr>
        <w:tabs>
          <w:tab w:val="num" w:pos="4320"/>
        </w:tabs>
        <w:ind w:left="4320" w:hanging="360"/>
      </w:pPr>
      <w:rPr>
        <w:rFonts w:ascii="Symbol" w:hAnsi="Symbol" w:hint="default"/>
      </w:rPr>
    </w:lvl>
    <w:lvl w:ilvl="6" w:tplc="DF102DF0" w:tentative="1">
      <w:start w:val="1"/>
      <w:numFmt w:val="bullet"/>
      <w:lvlText w:val=""/>
      <w:lvlJc w:val="left"/>
      <w:pPr>
        <w:tabs>
          <w:tab w:val="num" w:pos="5040"/>
        </w:tabs>
        <w:ind w:left="5040" w:hanging="360"/>
      </w:pPr>
      <w:rPr>
        <w:rFonts w:ascii="Symbol" w:hAnsi="Symbol" w:hint="default"/>
      </w:rPr>
    </w:lvl>
    <w:lvl w:ilvl="7" w:tplc="C08ADE44" w:tentative="1">
      <w:start w:val="1"/>
      <w:numFmt w:val="bullet"/>
      <w:lvlText w:val=""/>
      <w:lvlJc w:val="left"/>
      <w:pPr>
        <w:tabs>
          <w:tab w:val="num" w:pos="5760"/>
        </w:tabs>
        <w:ind w:left="5760" w:hanging="360"/>
      </w:pPr>
      <w:rPr>
        <w:rFonts w:ascii="Symbol" w:hAnsi="Symbol" w:hint="default"/>
      </w:rPr>
    </w:lvl>
    <w:lvl w:ilvl="8" w:tplc="5C4E794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A277526"/>
    <w:multiLevelType w:val="hybridMultilevel"/>
    <w:tmpl w:val="021EAFF8"/>
    <w:lvl w:ilvl="0" w:tplc="30F45152">
      <w:start w:val="1"/>
      <w:numFmt w:val="bullet"/>
      <w:lvlText w:val=""/>
      <w:lvlJc w:val="left"/>
      <w:pPr>
        <w:tabs>
          <w:tab w:val="num" w:pos="720"/>
        </w:tabs>
        <w:ind w:left="720" w:hanging="360"/>
      </w:pPr>
      <w:rPr>
        <w:rFonts w:ascii="Symbol" w:hAnsi="Symbol" w:hint="default"/>
      </w:rPr>
    </w:lvl>
    <w:lvl w:ilvl="1" w:tplc="48509C00" w:tentative="1">
      <w:start w:val="1"/>
      <w:numFmt w:val="bullet"/>
      <w:lvlText w:val=""/>
      <w:lvlJc w:val="left"/>
      <w:pPr>
        <w:tabs>
          <w:tab w:val="num" w:pos="1440"/>
        </w:tabs>
        <w:ind w:left="1440" w:hanging="360"/>
      </w:pPr>
      <w:rPr>
        <w:rFonts w:ascii="Symbol" w:hAnsi="Symbol" w:hint="default"/>
      </w:rPr>
    </w:lvl>
    <w:lvl w:ilvl="2" w:tplc="2004C0DC" w:tentative="1">
      <w:start w:val="1"/>
      <w:numFmt w:val="bullet"/>
      <w:lvlText w:val=""/>
      <w:lvlJc w:val="left"/>
      <w:pPr>
        <w:tabs>
          <w:tab w:val="num" w:pos="2160"/>
        </w:tabs>
        <w:ind w:left="2160" w:hanging="360"/>
      </w:pPr>
      <w:rPr>
        <w:rFonts w:ascii="Symbol" w:hAnsi="Symbol" w:hint="default"/>
      </w:rPr>
    </w:lvl>
    <w:lvl w:ilvl="3" w:tplc="4F862CAC" w:tentative="1">
      <w:start w:val="1"/>
      <w:numFmt w:val="bullet"/>
      <w:lvlText w:val=""/>
      <w:lvlJc w:val="left"/>
      <w:pPr>
        <w:tabs>
          <w:tab w:val="num" w:pos="2880"/>
        </w:tabs>
        <w:ind w:left="2880" w:hanging="360"/>
      </w:pPr>
      <w:rPr>
        <w:rFonts w:ascii="Symbol" w:hAnsi="Symbol" w:hint="default"/>
      </w:rPr>
    </w:lvl>
    <w:lvl w:ilvl="4" w:tplc="3C96CBEE" w:tentative="1">
      <w:start w:val="1"/>
      <w:numFmt w:val="bullet"/>
      <w:lvlText w:val=""/>
      <w:lvlJc w:val="left"/>
      <w:pPr>
        <w:tabs>
          <w:tab w:val="num" w:pos="3600"/>
        </w:tabs>
        <w:ind w:left="3600" w:hanging="360"/>
      </w:pPr>
      <w:rPr>
        <w:rFonts w:ascii="Symbol" w:hAnsi="Symbol" w:hint="default"/>
      </w:rPr>
    </w:lvl>
    <w:lvl w:ilvl="5" w:tplc="009A4F9A" w:tentative="1">
      <w:start w:val="1"/>
      <w:numFmt w:val="bullet"/>
      <w:lvlText w:val=""/>
      <w:lvlJc w:val="left"/>
      <w:pPr>
        <w:tabs>
          <w:tab w:val="num" w:pos="4320"/>
        </w:tabs>
        <w:ind w:left="4320" w:hanging="360"/>
      </w:pPr>
      <w:rPr>
        <w:rFonts w:ascii="Symbol" w:hAnsi="Symbol" w:hint="default"/>
      </w:rPr>
    </w:lvl>
    <w:lvl w:ilvl="6" w:tplc="5544AD1C" w:tentative="1">
      <w:start w:val="1"/>
      <w:numFmt w:val="bullet"/>
      <w:lvlText w:val=""/>
      <w:lvlJc w:val="left"/>
      <w:pPr>
        <w:tabs>
          <w:tab w:val="num" w:pos="5040"/>
        </w:tabs>
        <w:ind w:left="5040" w:hanging="360"/>
      </w:pPr>
      <w:rPr>
        <w:rFonts w:ascii="Symbol" w:hAnsi="Symbol" w:hint="default"/>
      </w:rPr>
    </w:lvl>
    <w:lvl w:ilvl="7" w:tplc="B096DA52" w:tentative="1">
      <w:start w:val="1"/>
      <w:numFmt w:val="bullet"/>
      <w:lvlText w:val=""/>
      <w:lvlJc w:val="left"/>
      <w:pPr>
        <w:tabs>
          <w:tab w:val="num" w:pos="5760"/>
        </w:tabs>
        <w:ind w:left="5760" w:hanging="360"/>
      </w:pPr>
      <w:rPr>
        <w:rFonts w:ascii="Symbol" w:hAnsi="Symbol" w:hint="default"/>
      </w:rPr>
    </w:lvl>
    <w:lvl w:ilvl="8" w:tplc="04F80CE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32116"/>
    <w:multiLevelType w:val="hybridMultilevel"/>
    <w:tmpl w:val="02A82A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7FB22B44"/>
    <w:multiLevelType w:val="hybridMultilevel"/>
    <w:tmpl w:val="1FE63CC8"/>
    <w:lvl w:ilvl="0" w:tplc="4566B378">
      <w:start w:val="1"/>
      <w:numFmt w:val="bullet"/>
      <w:lvlText w:val=""/>
      <w:lvlJc w:val="left"/>
      <w:pPr>
        <w:tabs>
          <w:tab w:val="num" w:pos="720"/>
        </w:tabs>
        <w:ind w:left="720" w:hanging="360"/>
      </w:pPr>
      <w:rPr>
        <w:rFonts w:ascii="Symbol" w:hAnsi="Symbol" w:hint="default"/>
      </w:rPr>
    </w:lvl>
    <w:lvl w:ilvl="1" w:tplc="A4CCAD50" w:tentative="1">
      <w:start w:val="1"/>
      <w:numFmt w:val="bullet"/>
      <w:lvlText w:val=""/>
      <w:lvlJc w:val="left"/>
      <w:pPr>
        <w:tabs>
          <w:tab w:val="num" w:pos="1440"/>
        </w:tabs>
        <w:ind w:left="1440" w:hanging="360"/>
      </w:pPr>
      <w:rPr>
        <w:rFonts w:ascii="Symbol" w:hAnsi="Symbol" w:hint="default"/>
      </w:rPr>
    </w:lvl>
    <w:lvl w:ilvl="2" w:tplc="4130504E" w:tentative="1">
      <w:start w:val="1"/>
      <w:numFmt w:val="bullet"/>
      <w:lvlText w:val=""/>
      <w:lvlJc w:val="left"/>
      <w:pPr>
        <w:tabs>
          <w:tab w:val="num" w:pos="2160"/>
        </w:tabs>
        <w:ind w:left="2160" w:hanging="360"/>
      </w:pPr>
      <w:rPr>
        <w:rFonts w:ascii="Symbol" w:hAnsi="Symbol" w:hint="default"/>
      </w:rPr>
    </w:lvl>
    <w:lvl w:ilvl="3" w:tplc="35FA093A" w:tentative="1">
      <w:start w:val="1"/>
      <w:numFmt w:val="bullet"/>
      <w:lvlText w:val=""/>
      <w:lvlJc w:val="left"/>
      <w:pPr>
        <w:tabs>
          <w:tab w:val="num" w:pos="2880"/>
        </w:tabs>
        <w:ind w:left="2880" w:hanging="360"/>
      </w:pPr>
      <w:rPr>
        <w:rFonts w:ascii="Symbol" w:hAnsi="Symbol" w:hint="default"/>
      </w:rPr>
    </w:lvl>
    <w:lvl w:ilvl="4" w:tplc="50E4C21A" w:tentative="1">
      <w:start w:val="1"/>
      <w:numFmt w:val="bullet"/>
      <w:lvlText w:val=""/>
      <w:lvlJc w:val="left"/>
      <w:pPr>
        <w:tabs>
          <w:tab w:val="num" w:pos="3600"/>
        </w:tabs>
        <w:ind w:left="3600" w:hanging="360"/>
      </w:pPr>
      <w:rPr>
        <w:rFonts w:ascii="Symbol" w:hAnsi="Symbol" w:hint="default"/>
      </w:rPr>
    </w:lvl>
    <w:lvl w:ilvl="5" w:tplc="FDC88ECA" w:tentative="1">
      <w:start w:val="1"/>
      <w:numFmt w:val="bullet"/>
      <w:lvlText w:val=""/>
      <w:lvlJc w:val="left"/>
      <w:pPr>
        <w:tabs>
          <w:tab w:val="num" w:pos="4320"/>
        </w:tabs>
        <w:ind w:left="4320" w:hanging="360"/>
      </w:pPr>
      <w:rPr>
        <w:rFonts w:ascii="Symbol" w:hAnsi="Symbol" w:hint="default"/>
      </w:rPr>
    </w:lvl>
    <w:lvl w:ilvl="6" w:tplc="6DF86414" w:tentative="1">
      <w:start w:val="1"/>
      <w:numFmt w:val="bullet"/>
      <w:lvlText w:val=""/>
      <w:lvlJc w:val="left"/>
      <w:pPr>
        <w:tabs>
          <w:tab w:val="num" w:pos="5040"/>
        </w:tabs>
        <w:ind w:left="5040" w:hanging="360"/>
      </w:pPr>
      <w:rPr>
        <w:rFonts w:ascii="Symbol" w:hAnsi="Symbol" w:hint="default"/>
      </w:rPr>
    </w:lvl>
    <w:lvl w:ilvl="7" w:tplc="CC8E03E6" w:tentative="1">
      <w:start w:val="1"/>
      <w:numFmt w:val="bullet"/>
      <w:lvlText w:val=""/>
      <w:lvlJc w:val="left"/>
      <w:pPr>
        <w:tabs>
          <w:tab w:val="num" w:pos="5760"/>
        </w:tabs>
        <w:ind w:left="5760" w:hanging="360"/>
      </w:pPr>
      <w:rPr>
        <w:rFonts w:ascii="Symbol" w:hAnsi="Symbol" w:hint="default"/>
      </w:rPr>
    </w:lvl>
    <w:lvl w:ilvl="8" w:tplc="E466BC0E" w:tentative="1">
      <w:start w:val="1"/>
      <w:numFmt w:val="bullet"/>
      <w:lvlText w:val=""/>
      <w:lvlJc w:val="left"/>
      <w:pPr>
        <w:tabs>
          <w:tab w:val="num" w:pos="6480"/>
        </w:tabs>
        <w:ind w:left="6480" w:hanging="360"/>
      </w:pPr>
      <w:rPr>
        <w:rFonts w:ascii="Symbol" w:hAnsi="Symbol" w:hint="default"/>
      </w:rPr>
    </w:lvl>
  </w:abstractNum>
  <w:num w:numId="1" w16cid:durableId="314913578">
    <w:abstractNumId w:val="0"/>
  </w:num>
  <w:num w:numId="2" w16cid:durableId="120195932">
    <w:abstractNumId w:val="35"/>
  </w:num>
  <w:num w:numId="3" w16cid:durableId="1979649094">
    <w:abstractNumId w:val="30"/>
  </w:num>
  <w:num w:numId="4" w16cid:durableId="1809131025">
    <w:abstractNumId w:val="34"/>
  </w:num>
  <w:num w:numId="5" w16cid:durableId="1834442886">
    <w:abstractNumId w:val="40"/>
  </w:num>
  <w:num w:numId="6" w16cid:durableId="762383529">
    <w:abstractNumId w:val="9"/>
  </w:num>
  <w:num w:numId="7" w16cid:durableId="1745686487">
    <w:abstractNumId w:val="32"/>
  </w:num>
  <w:num w:numId="8" w16cid:durableId="1167210588">
    <w:abstractNumId w:val="22"/>
  </w:num>
  <w:num w:numId="9" w16cid:durableId="1611930379">
    <w:abstractNumId w:val="36"/>
  </w:num>
  <w:num w:numId="10" w16cid:durableId="1461416481">
    <w:abstractNumId w:val="5"/>
  </w:num>
  <w:num w:numId="11" w16cid:durableId="1443189720">
    <w:abstractNumId w:val="17"/>
  </w:num>
  <w:num w:numId="12" w16cid:durableId="1863665772">
    <w:abstractNumId w:val="11"/>
  </w:num>
  <w:num w:numId="13" w16cid:durableId="961377480">
    <w:abstractNumId w:val="18"/>
  </w:num>
  <w:num w:numId="14" w16cid:durableId="133455591">
    <w:abstractNumId w:val="24"/>
  </w:num>
  <w:num w:numId="15" w16cid:durableId="1915312766">
    <w:abstractNumId w:val="25"/>
  </w:num>
  <w:num w:numId="16" w16cid:durableId="1042830531">
    <w:abstractNumId w:val="28"/>
  </w:num>
  <w:num w:numId="17" w16cid:durableId="760954678">
    <w:abstractNumId w:val="31"/>
  </w:num>
  <w:num w:numId="18" w16cid:durableId="1434282956">
    <w:abstractNumId w:val="29"/>
  </w:num>
  <w:num w:numId="19" w16cid:durableId="91710178">
    <w:abstractNumId w:val="33"/>
  </w:num>
  <w:num w:numId="20" w16cid:durableId="878862843">
    <w:abstractNumId w:val="14"/>
  </w:num>
  <w:num w:numId="21" w16cid:durableId="116265733">
    <w:abstractNumId w:val="13"/>
  </w:num>
  <w:num w:numId="22" w16cid:durableId="546599787">
    <w:abstractNumId w:val="2"/>
  </w:num>
  <w:num w:numId="23" w16cid:durableId="1276017165">
    <w:abstractNumId w:val="8"/>
  </w:num>
  <w:num w:numId="24" w16cid:durableId="1419474553">
    <w:abstractNumId w:val="7"/>
  </w:num>
  <w:num w:numId="25" w16cid:durableId="1531912495">
    <w:abstractNumId w:val="3"/>
  </w:num>
  <w:num w:numId="26" w16cid:durableId="861632401">
    <w:abstractNumId w:val="23"/>
  </w:num>
  <w:num w:numId="27" w16cid:durableId="1345664819">
    <w:abstractNumId w:val="20"/>
  </w:num>
  <w:num w:numId="28" w16cid:durableId="646206252">
    <w:abstractNumId w:val="41"/>
  </w:num>
  <w:num w:numId="29" w16cid:durableId="1967270499">
    <w:abstractNumId w:val="42"/>
  </w:num>
  <w:num w:numId="30" w16cid:durableId="956641849">
    <w:abstractNumId w:val="12"/>
  </w:num>
  <w:num w:numId="31" w16cid:durableId="2134013216">
    <w:abstractNumId w:val="6"/>
  </w:num>
  <w:num w:numId="32" w16cid:durableId="1183319134">
    <w:abstractNumId w:val="27"/>
  </w:num>
  <w:num w:numId="33" w16cid:durableId="1742606350">
    <w:abstractNumId w:val="38"/>
  </w:num>
  <w:num w:numId="34" w16cid:durableId="1308242465">
    <w:abstractNumId w:val="10"/>
  </w:num>
  <w:num w:numId="35" w16cid:durableId="811019518">
    <w:abstractNumId w:val="21"/>
  </w:num>
  <w:num w:numId="36" w16cid:durableId="309142726">
    <w:abstractNumId w:val="4"/>
  </w:num>
  <w:num w:numId="37" w16cid:durableId="895824959">
    <w:abstractNumId w:val="39"/>
  </w:num>
  <w:num w:numId="38" w16cid:durableId="970138558">
    <w:abstractNumId w:val="15"/>
  </w:num>
  <w:num w:numId="39" w16cid:durableId="1341467179">
    <w:abstractNumId w:val="16"/>
  </w:num>
  <w:num w:numId="40" w16cid:durableId="1862621589">
    <w:abstractNumId w:val="19"/>
  </w:num>
  <w:num w:numId="41" w16cid:durableId="1366832055">
    <w:abstractNumId w:val="26"/>
  </w:num>
  <w:num w:numId="42" w16cid:durableId="541287381">
    <w:abstractNumId w:val="1"/>
    <w:lvlOverride w:ilvl="0">
      <w:lvl w:ilvl="0">
        <w:numFmt w:val="bullet"/>
        <w:lvlText w:val="•"/>
        <w:legacy w:legacy="1" w:legacySpace="0" w:legacyIndent="0"/>
        <w:lvlJc w:val="left"/>
        <w:rPr>
          <w:rFonts w:ascii="Arial" w:hAnsi="Arial" w:cs="Arial" w:hint="default"/>
          <w:sz w:val="22"/>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6569"/>
    <w:rsid w:val="00006E91"/>
    <w:rsid w:val="00006FE3"/>
    <w:rsid w:val="0001073A"/>
    <w:rsid w:val="000117FC"/>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D77"/>
    <w:rsid w:val="00050E94"/>
    <w:rsid w:val="000512D0"/>
    <w:rsid w:val="00051924"/>
    <w:rsid w:val="00051B59"/>
    <w:rsid w:val="00051F39"/>
    <w:rsid w:val="00053E7B"/>
    <w:rsid w:val="000549A3"/>
    <w:rsid w:val="00054E9A"/>
    <w:rsid w:val="0005584C"/>
    <w:rsid w:val="00056963"/>
    <w:rsid w:val="00056E43"/>
    <w:rsid w:val="00057672"/>
    <w:rsid w:val="00060539"/>
    <w:rsid w:val="000607A4"/>
    <w:rsid w:val="00060978"/>
    <w:rsid w:val="0006098C"/>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091B"/>
    <w:rsid w:val="000814B0"/>
    <w:rsid w:val="00081F3E"/>
    <w:rsid w:val="000825C7"/>
    <w:rsid w:val="0008343E"/>
    <w:rsid w:val="00083A87"/>
    <w:rsid w:val="00085836"/>
    <w:rsid w:val="00086997"/>
    <w:rsid w:val="00086B60"/>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59A5"/>
    <w:rsid w:val="000B7672"/>
    <w:rsid w:val="000B794A"/>
    <w:rsid w:val="000C0914"/>
    <w:rsid w:val="000C1CFA"/>
    <w:rsid w:val="000C3A47"/>
    <w:rsid w:val="000C3EC0"/>
    <w:rsid w:val="000C64F3"/>
    <w:rsid w:val="000C667B"/>
    <w:rsid w:val="000C6967"/>
    <w:rsid w:val="000C7368"/>
    <w:rsid w:val="000C7D11"/>
    <w:rsid w:val="000D1CC6"/>
    <w:rsid w:val="000D26AB"/>
    <w:rsid w:val="000D4B1C"/>
    <w:rsid w:val="000D58C7"/>
    <w:rsid w:val="000D5C0B"/>
    <w:rsid w:val="000D79FD"/>
    <w:rsid w:val="000E0179"/>
    <w:rsid w:val="000E1E70"/>
    <w:rsid w:val="000E1EEF"/>
    <w:rsid w:val="000E249D"/>
    <w:rsid w:val="000E2845"/>
    <w:rsid w:val="000E28BE"/>
    <w:rsid w:val="000E3762"/>
    <w:rsid w:val="000E419F"/>
    <w:rsid w:val="000E4A61"/>
    <w:rsid w:val="000E5664"/>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5EAE"/>
    <w:rsid w:val="0010658F"/>
    <w:rsid w:val="001065CD"/>
    <w:rsid w:val="0010692E"/>
    <w:rsid w:val="00106DF7"/>
    <w:rsid w:val="001077F8"/>
    <w:rsid w:val="00107D60"/>
    <w:rsid w:val="00110388"/>
    <w:rsid w:val="00110733"/>
    <w:rsid w:val="001119E7"/>
    <w:rsid w:val="00112190"/>
    <w:rsid w:val="0011243B"/>
    <w:rsid w:val="00113A74"/>
    <w:rsid w:val="00114B7D"/>
    <w:rsid w:val="001150BE"/>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756"/>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A4B"/>
    <w:rsid w:val="00191A84"/>
    <w:rsid w:val="00191E03"/>
    <w:rsid w:val="00193DA0"/>
    <w:rsid w:val="00194C71"/>
    <w:rsid w:val="001A006D"/>
    <w:rsid w:val="001A17BB"/>
    <w:rsid w:val="001A1D1A"/>
    <w:rsid w:val="001A21A3"/>
    <w:rsid w:val="001A2E39"/>
    <w:rsid w:val="001A39FA"/>
    <w:rsid w:val="001A3A09"/>
    <w:rsid w:val="001A4690"/>
    <w:rsid w:val="001A4720"/>
    <w:rsid w:val="001A4840"/>
    <w:rsid w:val="001A4EB3"/>
    <w:rsid w:val="001A5EF8"/>
    <w:rsid w:val="001A5F52"/>
    <w:rsid w:val="001A616E"/>
    <w:rsid w:val="001A680C"/>
    <w:rsid w:val="001A6E8E"/>
    <w:rsid w:val="001A7ABB"/>
    <w:rsid w:val="001A7CA8"/>
    <w:rsid w:val="001B01F5"/>
    <w:rsid w:val="001B1085"/>
    <w:rsid w:val="001B183D"/>
    <w:rsid w:val="001B1918"/>
    <w:rsid w:val="001B1CF1"/>
    <w:rsid w:val="001B1D57"/>
    <w:rsid w:val="001B28AB"/>
    <w:rsid w:val="001B65BB"/>
    <w:rsid w:val="001B71CD"/>
    <w:rsid w:val="001B7498"/>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5B0"/>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5825"/>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5D57"/>
    <w:rsid w:val="002362F2"/>
    <w:rsid w:val="002364B1"/>
    <w:rsid w:val="0023679B"/>
    <w:rsid w:val="00236F5C"/>
    <w:rsid w:val="002370CD"/>
    <w:rsid w:val="0023722A"/>
    <w:rsid w:val="002404B3"/>
    <w:rsid w:val="00242633"/>
    <w:rsid w:val="00242EB5"/>
    <w:rsid w:val="00243BA3"/>
    <w:rsid w:val="00243BBC"/>
    <w:rsid w:val="00244CE9"/>
    <w:rsid w:val="00244F4E"/>
    <w:rsid w:val="00245211"/>
    <w:rsid w:val="002453FC"/>
    <w:rsid w:val="00246308"/>
    <w:rsid w:val="00246892"/>
    <w:rsid w:val="00247B25"/>
    <w:rsid w:val="00247F6D"/>
    <w:rsid w:val="002507C1"/>
    <w:rsid w:val="002509B7"/>
    <w:rsid w:val="002510AF"/>
    <w:rsid w:val="00251F7D"/>
    <w:rsid w:val="002522A6"/>
    <w:rsid w:val="002533F8"/>
    <w:rsid w:val="002545BB"/>
    <w:rsid w:val="002549E3"/>
    <w:rsid w:val="00255550"/>
    <w:rsid w:val="00255902"/>
    <w:rsid w:val="00261A77"/>
    <w:rsid w:val="002623D0"/>
    <w:rsid w:val="002626D8"/>
    <w:rsid w:val="0026276B"/>
    <w:rsid w:val="00262F5D"/>
    <w:rsid w:val="00263202"/>
    <w:rsid w:val="0026355D"/>
    <w:rsid w:val="00263DB5"/>
    <w:rsid w:val="0026410A"/>
    <w:rsid w:val="00265E3D"/>
    <w:rsid w:val="00266354"/>
    <w:rsid w:val="00270AA9"/>
    <w:rsid w:val="002718C8"/>
    <w:rsid w:val="00271A0A"/>
    <w:rsid w:val="00272BD7"/>
    <w:rsid w:val="002731E6"/>
    <w:rsid w:val="00275314"/>
    <w:rsid w:val="0027610B"/>
    <w:rsid w:val="00276164"/>
    <w:rsid w:val="00276E8D"/>
    <w:rsid w:val="002777F7"/>
    <w:rsid w:val="0028083B"/>
    <w:rsid w:val="00280858"/>
    <w:rsid w:val="0028110D"/>
    <w:rsid w:val="0028139E"/>
    <w:rsid w:val="002815E2"/>
    <w:rsid w:val="00283A39"/>
    <w:rsid w:val="00284A9A"/>
    <w:rsid w:val="0028560E"/>
    <w:rsid w:val="00285AF4"/>
    <w:rsid w:val="0029067B"/>
    <w:rsid w:val="002911A6"/>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644F"/>
    <w:rsid w:val="002C75BF"/>
    <w:rsid w:val="002C78AC"/>
    <w:rsid w:val="002C7A85"/>
    <w:rsid w:val="002D044E"/>
    <w:rsid w:val="002D2A66"/>
    <w:rsid w:val="002D2EF3"/>
    <w:rsid w:val="002D3ECD"/>
    <w:rsid w:val="002D3F72"/>
    <w:rsid w:val="002D46A4"/>
    <w:rsid w:val="002D5FD7"/>
    <w:rsid w:val="002D62F4"/>
    <w:rsid w:val="002D63D9"/>
    <w:rsid w:val="002D6F61"/>
    <w:rsid w:val="002D7DA9"/>
    <w:rsid w:val="002E0033"/>
    <w:rsid w:val="002E0323"/>
    <w:rsid w:val="002E0761"/>
    <w:rsid w:val="002E2175"/>
    <w:rsid w:val="002E27F8"/>
    <w:rsid w:val="002E2889"/>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0DDE"/>
    <w:rsid w:val="00302C21"/>
    <w:rsid w:val="00302C78"/>
    <w:rsid w:val="003032AE"/>
    <w:rsid w:val="00303BA8"/>
    <w:rsid w:val="00303E26"/>
    <w:rsid w:val="00304A16"/>
    <w:rsid w:val="00305108"/>
    <w:rsid w:val="0030533E"/>
    <w:rsid w:val="003057C3"/>
    <w:rsid w:val="00305E76"/>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967"/>
    <w:rsid w:val="00353D43"/>
    <w:rsid w:val="003540EF"/>
    <w:rsid w:val="0035588B"/>
    <w:rsid w:val="00356F50"/>
    <w:rsid w:val="00357C29"/>
    <w:rsid w:val="00360EEE"/>
    <w:rsid w:val="00362085"/>
    <w:rsid w:val="003625D0"/>
    <w:rsid w:val="00364FA9"/>
    <w:rsid w:val="0036525F"/>
    <w:rsid w:val="00365942"/>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0A1A"/>
    <w:rsid w:val="00382A04"/>
    <w:rsid w:val="00382CDE"/>
    <w:rsid w:val="00382E7D"/>
    <w:rsid w:val="00384813"/>
    <w:rsid w:val="00384F4E"/>
    <w:rsid w:val="00385176"/>
    <w:rsid w:val="00385A84"/>
    <w:rsid w:val="00386380"/>
    <w:rsid w:val="0038684F"/>
    <w:rsid w:val="00386FAA"/>
    <w:rsid w:val="00387594"/>
    <w:rsid w:val="0039009E"/>
    <w:rsid w:val="00390A96"/>
    <w:rsid w:val="00392179"/>
    <w:rsid w:val="00393690"/>
    <w:rsid w:val="00393889"/>
    <w:rsid w:val="0039531D"/>
    <w:rsid w:val="00396649"/>
    <w:rsid w:val="00397F1C"/>
    <w:rsid w:val="003A0A62"/>
    <w:rsid w:val="003A15E9"/>
    <w:rsid w:val="003A190D"/>
    <w:rsid w:val="003A199F"/>
    <w:rsid w:val="003A2B6D"/>
    <w:rsid w:val="003A2C28"/>
    <w:rsid w:val="003A3009"/>
    <w:rsid w:val="003A34BA"/>
    <w:rsid w:val="003A52A8"/>
    <w:rsid w:val="003A544F"/>
    <w:rsid w:val="003B0534"/>
    <w:rsid w:val="003B16CC"/>
    <w:rsid w:val="003B24F0"/>
    <w:rsid w:val="003B3D34"/>
    <w:rsid w:val="003B4205"/>
    <w:rsid w:val="003B4D8B"/>
    <w:rsid w:val="003B54B3"/>
    <w:rsid w:val="003B56E5"/>
    <w:rsid w:val="003C0CDE"/>
    <w:rsid w:val="003C41AD"/>
    <w:rsid w:val="003C4AB5"/>
    <w:rsid w:val="003C64E5"/>
    <w:rsid w:val="003C6EC7"/>
    <w:rsid w:val="003C7D22"/>
    <w:rsid w:val="003C7E21"/>
    <w:rsid w:val="003D21EB"/>
    <w:rsid w:val="003D24A2"/>
    <w:rsid w:val="003D3E13"/>
    <w:rsid w:val="003D4981"/>
    <w:rsid w:val="003D6C8F"/>
    <w:rsid w:val="003D72AC"/>
    <w:rsid w:val="003E1570"/>
    <w:rsid w:val="003E3805"/>
    <w:rsid w:val="003E3B61"/>
    <w:rsid w:val="003E4097"/>
    <w:rsid w:val="003E538E"/>
    <w:rsid w:val="003E5485"/>
    <w:rsid w:val="003E5673"/>
    <w:rsid w:val="003E58EF"/>
    <w:rsid w:val="003E6636"/>
    <w:rsid w:val="003E71AF"/>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2AA"/>
    <w:rsid w:val="00425B38"/>
    <w:rsid w:val="004268AD"/>
    <w:rsid w:val="00426AE3"/>
    <w:rsid w:val="00426FD9"/>
    <w:rsid w:val="0042767B"/>
    <w:rsid w:val="00427A5F"/>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507"/>
    <w:rsid w:val="00456F44"/>
    <w:rsid w:val="00457C35"/>
    <w:rsid w:val="0046011B"/>
    <w:rsid w:val="00460179"/>
    <w:rsid w:val="004604B2"/>
    <w:rsid w:val="004604D2"/>
    <w:rsid w:val="00461258"/>
    <w:rsid w:val="00461947"/>
    <w:rsid w:val="00461CD6"/>
    <w:rsid w:val="00462921"/>
    <w:rsid w:val="004675D0"/>
    <w:rsid w:val="00467C82"/>
    <w:rsid w:val="00470A86"/>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60"/>
    <w:rsid w:val="0048317D"/>
    <w:rsid w:val="004851A9"/>
    <w:rsid w:val="00486A5A"/>
    <w:rsid w:val="00487232"/>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695"/>
    <w:rsid w:val="004C7BA4"/>
    <w:rsid w:val="004D05CB"/>
    <w:rsid w:val="004D10E9"/>
    <w:rsid w:val="004D1506"/>
    <w:rsid w:val="004D1AB8"/>
    <w:rsid w:val="004D1C87"/>
    <w:rsid w:val="004D1FD0"/>
    <w:rsid w:val="004D2534"/>
    <w:rsid w:val="004D3282"/>
    <w:rsid w:val="004D334B"/>
    <w:rsid w:val="004D3AA3"/>
    <w:rsid w:val="004D3AD5"/>
    <w:rsid w:val="004D5474"/>
    <w:rsid w:val="004D5AFD"/>
    <w:rsid w:val="004D67E7"/>
    <w:rsid w:val="004E08E7"/>
    <w:rsid w:val="004E0ED5"/>
    <w:rsid w:val="004E137D"/>
    <w:rsid w:val="004E23A9"/>
    <w:rsid w:val="004E2E8C"/>
    <w:rsid w:val="004E3149"/>
    <w:rsid w:val="004E3DDE"/>
    <w:rsid w:val="004E5480"/>
    <w:rsid w:val="004E5DED"/>
    <w:rsid w:val="004E61A9"/>
    <w:rsid w:val="004E65A4"/>
    <w:rsid w:val="004F22C5"/>
    <w:rsid w:val="004F3365"/>
    <w:rsid w:val="004F411A"/>
    <w:rsid w:val="004F4469"/>
    <w:rsid w:val="004F4A77"/>
    <w:rsid w:val="004F601C"/>
    <w:rsid w:val="004F652A"/>
    <w:rsid w:val="004F721A"/>
    <w:rsid w:val="005007CC"/>
    <w:rsid w:val="005008BE"/>
    <w:rsid w:val="00501388"/>
    <w:rsid w:val="00501530"/>
    <w:rsid w:val="00501E55"/>
    <w:rsid w:val="005022D7"/>
    <w:rsid w:val="00502CBB"/>
    <w:rsid w:val="00503251"/>
    <w:rsid w:val="0050339E"/>
    <w:rsid w:val="005036DF"/>
    <w:rsid w:val="0050392F"/>
    <w:rsid w:val="00503B12"/>
    <w:rsid w:val="00504591"/>
    <w:rsid w:val="005050C7"/>
    <w:rsid w:val="00505560"/>
    <w:rsid w:val="00505CF2"/>
    <w:rsid w:val="0050651F"/>
    <w:rsid w:val="00506E60"/>
    <w:rsid w:val="0051074B"/>
    <w:rsid w:val="005107AA"/>
    <w:rsid w:val="00510E26"/>
    <w:rsid w:val="00511C8D"/>
    <w:rsid w:val="005136EA"/>
    <w:rsid w:val="00514822"/>
    <w:rsid w:val="00514A1E"/>
    <w:rsid w:val="00516CFA"/>
    <w:rsid w:val="005174DA"/>
    <w:rsid w:val="005179B5"/>
    <w:rsid w:val="00517E87"/>
    <w:rsid w:val="00521424"/>
    <w:rsid w:val="00521660"/>
    <w:rsid w:val="00521F0B"/>
    <w:rsid w:val="00522C1C"/>
    <w:rsid w:val="00525F66"/>
    <w:rsid w:val="00526A0B"/>
    <w:rsid w:val="005273D8"/>
    <w:rsid w:val="00527F60"/>
    <w:rsid w:val="00530645"/>
    <w:rsid w:val="00531282"/>
    <w:rsid w:val="0053188F"/>
    <w:rsid w:val="00531BBC"/>
    <w:rsid w:val="005325AE"/>
    <w:rsid w:val="00532CC3"/>
    <w:rsid w:val="005333D2"/>
    <w:rsid w:val="005344DE"/>
    <w:rsid w:val="00534B5C"/>
    <w:rsid w:val="00535020"/>
    <w:rsid w:val="00535E80"/>
    <w:rsid w:val="00535FDF"/>
    <w:rsid w:val="00536264"/>
    <w:rsid w:val="005365E5"/>
    <w:rsid w:val="005405EF"/>
    <w:rsid w:val="005419E6"/>
    <w:rsid w:val="00541E98"/>
    <w:rsid w:val="00541FC3"/>
    <w:rsid w:val="005424EC"/>
    <w:rsid w:val="00543A15"/>
    <w:rsid w:val="00544666"/>
    <w:rsid w:val="005447F6"/>
    <w:rsid w:val="00544B9A"/>
    <w:rsid w:val="005456C1"/>
    <w:rsid w:val="00545759"/>
    <w:rsid w:val="005460B3"/>
    <w:rsid w:val="00547B02"/>
    <w:rsid w:val="005506C4"/>
    <w:rsid w:val="00550A37"/>
    <w:rsid w:val="00550E46"/>
    <w:rsid w:val="0055266A"/>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0C4D"/>
    <w:rsid w:val="00571B0C"/>
    <w:rsid w:val="00574401"/>
    <w:rsid w:val="00574B20"/>
    <w:rsid w:val="00575E15"/>
    <w:rsid w:val="00576DE6"/>
    <w:rsid w:val="00577097"/>
    <w:rsid w:val="005770A3"/>
    <w:rsid w:val="005771DA"/>
    <w:rsid w:val="005779E9"/>
    <w:rsid w:val="00580009"/>
    <w:rsid w:val="005809F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046"/>
    <w:rsid w:val="0059625F"/>
    <w:rsid w:val="00596B20"/>
    <w:rsid w:val="00596E85"/>
    <w:rsid w:val="00597388"/>
    <w:rsid w:val="005A0D78"/>
    <w:rsid w:val="005A1218"/>
    <w:rsid w:val="005A2A4A"/>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44D4"/>
    <w:rsid w:val="005B5E3D"/>
    <w:rsid w:val="005B5F32"/>
    <w:rsid w:val="005B66DF"/>
    <w:rsid w:val="005B6B2D"/>
    <w:rsid w:val="005B6E52"/>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611"/>
    <w:rsid w:val="005F3E6D"/>
    <w:rsid w:val="005F4321"/>
    <w:rsid w:val="005F454F"/>
    <w:rsid w:val="005F50AD"/>
    <w:rsid w:val="005F5AE8"/>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DF"/>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3155"/>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2914"/>
    <w:rsid w:val="00693688"/>
    <w:rsid w:val="00694903"/>
    <w:rsid w:val="00694C98"/>
    <w:rsid w:val="00694CDF"/>
    <w:rsid w:val="00694D2B"/>
    <w:rsid w:val="006959F7"/>
    <w:rsid w:val="00695F15"/>
    <w:rsid w:val="00696027"/>
    <w:rsid w:val="0069701A"/>
    <w:rsid w:val="00697263"/>
    <w:rsid w:val="00697D38"/>
    <w:rsid w:val="00697E8C"/>
    <w:rsid w:val="006A0C80"/>
    <w:rsid w:val="006A3653"/>
    <w:rsid w:val="006A3C17"/>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64"/>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5C9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08B6"/>
    <w:rsid w:val="00732995"/>
    <w:rsid w:val="00734531"/>
    <w:rsid w:val="00734EAB"/>
    <w:rsid w:val="00734EDF"/>
    <w:rsid w:val="00736210"/>
    <w:rsid w:val="0073632C"/>
    <w:rsid w:val="007367E8"/>
    <w:rsid w:val="007375CF"/>
    <w:rsid w:val="007378A8"/>
    <w:rsid w:val="00740192"/>
    <w:rsid w:val="007412EE"/>
    <w:rsid w:val="0074376C"/>
    <w:rsid w:val="00743B22"/>
    <w:rsid w:val="00746A56"/>
    <w:rsid w:val="007470AA"/>
    <w:rsid w:val="0074793A"/>
    <w:rsid w:val="0074798A"/>
    <w:rsid w:val="00750FEE"/>
    <w:rsid w:val="007511AF"/>
    <w:rsid w:val="007519B9"/>
    <w:rsid w:val="00752384"/>
    <w:rsid w:val="00752A0F"/>
    <w:rsid w:val="00753AD6"/>
    <w:rsid w:val="00754D8D"/>
    <w:rsid w:val="00754D9D"/>
    <w:rsid w:val="00755554"/>
    <w:rsid w:val="00755A2F"/>
    <w:rsid w:val="00755DF0"/>
    <w:rsid w:val="007572C4"/>
    <w:rsid w:val="007576FD"/>
    <w:rsid w:val="00760185"/>
    <w:rsid w:val="00760D0B"/>
    <w:rsid w:val="00761B35"/>
    <w:rsid w:val="00761BEF"/>
    <w:rsid w:val="00761DDB"/>
    <w:rsid w:val="007636A3"/>
    <w:rsid w:val="007659E2"/>
    <w:rsid w:val="007661BF"/>
    <w:rsid w:val="00766885"/>
    <w:rsid w:val="00767EDB"/>
    <w:rsid w:val="00770194"/>
    <w:rsid w:val="00770846"/>
    <w:rsid w:val="0077155D"/>
    <w:rsid w:val="007716BB"/>
    <w:rsid w:val="00772BB7"/>
    <w:rsid w:val="00774C97"/>
    <w:rsid w:val="0077561B"/>
    <w:rsid w:val="0077636E"/>
    <w:rsid w:val="00776CDC"/>
    <w:rsid w:val="00781AB5"/>
    <w:rsid w:val="00783657"/>
    <w:rsid w:val="00783F2A"/>
    <w:rsid w:val="00783FC8"/>
    <w:rsid w:val="0078417B"/>
    <w:rsid w:val="007845D7"/>
    <w:rsid w:val="00784955"/>
    <w:rsid w:val="00784F91"/>
    <w:rsid w:val="00785721"/>
    <w:rsid w:val="00791081"/>
    <w:rsid w:val="00791151"/>
    <w:rsid w:val="007915B5"/>
    <w:rsid w:val="007961B0"/>
    <w:rsid w:val="00796491"/>
    <w:rsid w:val="007970F8"/>
    <w:rsid w:val="007972CA"/>
    <w:rsid w:val="007978A3"/>
    <w:rsid w:val="00797B3A"/>
    <w:rsid w:val="007A065D"/>
    <w:rsid w:val="007A11CA"/>
    <w:rsid w:val="007A135E"/>
    <w:rsid w:val="007A19F6"/>
    <w:rsid w:val="007A26DD"/>
    <w:rsid w:val="007A2870"/>
    <w:rsid w:val="007A3BE0"/>
    <w:rsid w:val="007A3E6A"/>
    <w:rsid w:val="007A473E"/>
    <w:rsid w:val="007A4DC2"/>
    <w:rsid w:val="007A53FF"/>
    <w:rsid w:val="007A7913"/>
    <w:rsid w:val="007B230C"/>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1BBF"/>
    <w:rsid w:val="007D339F"/>
    <w:rsid w:val="007D512F"/>
    <w:rsid w:val="007D59BF"/>
    <w:rsid w:val="007D5D21"/>
    <w:rsid w:val="007D7A22"/>
    <w:rsid w:val="007E08D7"/>
    <w:rsid w:val="007E15CE"/>
    <w:rsid w:val="007E15DF"/>
    <w:rsid w:val="007E2FB6"/>
    <w:rsid w:val="007E426F"/>
    <w:rsid w:val="007E4D47"/>
    <w:rsid w:val="007E53F2"/>
    <w:rsid w:val="007E798C"/>
    <w:rsid w:val="007F0CA7"/>
    <w:rsid w:val="007F382A"/>
    <w:rsid w:val="007F39C3"/>
    <w:rsid w:val="007F4712"/>
    <w:rsid w:val="007F53E0"/>
    <w:rsid w:val="007F5E20"/>
    <w:rsid w:val="00800BAE"/>
    <w:rsid w:val="00801A00"/>
    <w:rsid w:val="00804534"/>
    <w:rsid w:val="00804A19"/>
    <w:rsid w:val="00805F26"/>
    <w:rsid w:val="008061C6"/>
    <w:rsid w:val="00807BBB"/>
    <w:rsid w:val="008105E5"/>
    <w:rsid w:val="00810EEA"/>
    <w:rsid w:val="0081262B"/>
    <w:rsid w:val="0081318F"/>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4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266"/>
    <w:rsid w:val="00856417"/>
    <w:rsid w:val="00856433"/>
    <w:rsid w:val="00856B4E"/>
    <w:rsid w:val="00856E68"/>
    <w:rsid w:val="00861933"/>
    <w:rsid w:val="00861AC9"/>
    <w:rsid w:val="0086226C"/>
    <w:rsid w:val="008624C6"/>
    <w:rsid w:val="00862F88"/>
    <w:rsid w:val="008635E6"/>
    <w:rsid w:val="00863CDE"/>
    <w:rsid w:val="0086581C"/>
    <w:rsid w:val="00866317"/>
    <w:rsid w:val="00867C9D"/>
    <w:rsid w:val="00870E75"/>
    <w:rsid w:val="00874270"/>
    <w:rsid w:val="00874C9A"/>
    <w:rsid w:val="00875307"/>
    <w:rsid w:val="00876453"/>
    <w:rsid w:val="00880428"/>
    <w:rsid w:val="008819E1"/>
    <w:rsid w:val="00881DA8"/>
    <w:rsid w:val="00882A8F"/>
    <w:rsid w:val="00882E3E"/>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1E0B"/>
    <w:rsid w:val="008C3224"/>
    <w:rsid w:val="008C435D"/>
    <w:rsid w:val="008C4A86"/>
    <w:rsid w:val="008C4D86"/>
    <w:rsid w:val="008C543C"/>
    <w:rsid w:val="008C5AD8"/>
    <w:rsid w:val="008C5D52"/>
    <w:rsid w:val="008C78D9"/>
    <w:rsid w:val="008D09E7"/>
    <w:rsid w:val="008D2213"/>
    <w:rsid w:val="008D3136"/>
    <w:rsid w:val="008D588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5F6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27C14"/>
    <w:rsid w:val="00931047"/>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48A7"/>
    <w:rsid w:val="00955776"/>
    <w:rsid w:val="00955882"/>
    <w:rsid w:val="00957546"/>
    <w:rsid w:val="00960562"/>
    <w:rsid w:val="00960F08"/>
    <w:rsid w:val="00961D60"/>
    <w:rsid w:val="00961EA4"/>
    <w:rsid w:val="0096206D"/>
    <w:rsid w:val="0096208D"/>
    <w:rsid w:val="0096217F"/>
    <w:rsid w:val="00962D33"/>
    <w:rsid w:val="00963F61"/>
    <w:rsid w:val="0096455A"/>
    <w:rsid w:val="00965A62"/>
    <w:rsid w:val="00965D34"/>
    <w:rsid w:val="00967543"/>
    <w:rsid w:val="00970CFF"/>
    <w:rsid w:val="009710C8"/>
    <w:rsid w:val="00972E0B"/>
    <w:rsid w:val="00972FCE"/>
    <w:rsid w:val="009732EE"/>
    <w:rsid w:val="009737DF"/>
    <w:rsid w:val="00974464"/>
    <w:rsid w:val="0097452F"/>
    <w:rsid w:val="009759A8"/>
    <w:rsid w:val="00975F39"/>
    <w:rsid w:val="009776FB"/>
    <w:rsid w:val="00980384"/>
    <w:rsid w:val="00980BED"/>
    <w:rsid w:val="00980CFB"/>
    <w:rsid w:val="00981395"/>
    <w:rsid w:val="00981A78"/>
    <w:rsid w:val="009821B1"/>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4A20"/>
    <w:rsid w:val="009B6F7A"/>
    <w:rsid w:val="009B7AD6"/>
    <w:rsid w:val="009C0094"/>
    <w:rsid w:val="009C0ED2"/>
    <w:rsid w:val="009C21B8"/>
    <w:rsid w:val="009C25F9"/>
    <w:rsid w:val="009C2B48"/>
    <w:rsid w:val="009C3A24"/>
    <w:rsid w:val="009C4A8C"/>
    <w:rsid w:val="009C59ED"/>
    <w:rsid w:val="009C5F32"/>
    <w:rsid w:val="009C6747"/>
    <w:rsid w:val="009D0D82"/>
    <w:rsid w:val="009D103C"/>
    <w:rsid w:val="009D1CA4"/>
    <w:rsid w:val="009D2A10"/>
    <w:rsid w:val="009D433D"/>
    <w:rsid w:val="009D4B00"/>
    <w:rsid w:val="009D656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E72C8"/>
    <w:rsid w:val="009F0F11"/>
    <w:rsid w:val="009F1C08"/>
    <w:rsid w:val="009F251D"/>
    <w:rsid w:val="009F4B6D"/>
    <w:rsid w:val="009F6B16"/>
    <w:rsid w:val="009F746B"/>
    <w:rsid w:val="009F7C38"/>
    <w:rsid w:val="009F7EB2"/>
    <w:rsid w:val="00A00161"/>
    <w:rsid w:val="00A00382"/>
    <w:rsid w:val="00A01665"/>
    <w:rsid w:val="00A02507"/>
    <w:rsid w:val="00A02A1E"/>
    <w:rsid w:val="00A036FA"/>
    <w:rsid w:val="00A04502"/>
    <w:rsid w:val="00A04E38"/>
    <w:rsid w:val="00A059E0"/>
    <w:rsid w:val="00A05BC0"/>
    <w:rsid w:val="00A06E4D"/>
    <w:rsid w:val="00A06F3B"/>
    <w:rsid w:val="00A0727E"/>
    <w:rsid w:val="00A10431"/>
    <w:rsid w:val="00A10680"/>
    <w:rsid w:val="00A1250C"/>
    <w:rsid w:val="00A1423A"/>
    <w:rsid w:val="00A148B7"/>
    <w:rsid w:val="00A14D78"/>
    <w:rsid w:val="00A1502D"/>
    <w:rsid w:val="00A15ACE"/>
    <w:rsid w:val="00A16F0D"/>
    <w:rsid w:val="00A17275"/>
    <w:rsid w:val="00A174E6"/>
    <w:rsid w:val="00A175C4"/>
    <w:rsid w:val="00A211C3"/>
    <w:rsid w:val="00A23210"/>
    <w:rsid w:val="00A233DF"/>
    <w:rsid w:val="00A24580"/>
    <w:rsid w:val="00A248AC"/>
    <w:rsid w:val="00A248FC"/>
    <w:rsid w:val="00A250BF"/>
    <w:rsid w:val="00A25C54"/>
    <w:rsid w:val="00A26192"/>
    <w:rsid w:val="00A26301"/>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4F8"/>
    <w:rsid w:val="00A43822"/>
    <w:rsid w:val="00A45D08"/>
    <w:rsid w:val="00A500EC"/>
    <w:rsid w:val="00A51452"/>
    <w:rsid w:val="00A52BA8"/>
    <w:rsid w:val="00A52BE3"/>
    <w:rsid w:val="00A5381F"/>
    <w:rsid w:val="00A54816"/>
    <w:rsid w:val="00A54B1F"/>
    <w:rsid w:val="00A55102"/>
    <w:rsid w:val="00A5553E"/>
    <w:rsid w:val="00A637B5"/>
    <w:rsid w:val="00A63A14"/>
    <w:rsid w:val="00A63D49"/>
    <w:rsid w:val="00A63E47"/>
    <w:rsid w:val="00A63EAB"/>
    <w:rsid w:val="00A640EA"/>
    <w:rsid w:val="00A65634"/>
    <w:rsid w:val="00A66E85"/>
    <w:rsid w:val="00A67C4E"/>
    <w:rsid w:val="00A67DD2"/>
    <w:rsid w:val="00A70759"/>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9719C"/>
    <w:rsid w:val="00AA069B"/>
    <w:rsid w:val="00AA27FF"/>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3F4"/>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AF7570"/>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174F1"/>
    <w:rsid w:val="00B20E11"/>
    <w:rsid w:val="00B21229"/>
    <w:rsid w:val="00B219B2"/>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481"/>
    <w:rsid w:val="00B35611"/>
    <w:rsid w:val="00B35EF6"/>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417"/>
    <w:rsid w:val="00B86BC0"/>
    <w:rsid w:val="00B873DC"/>
    <w:rsid w:val="00B902B5"/>
    <w:rsid w:val="00B9074A"/>
    <w:rsid w:val="00B9125D"/>
    <w:rsid w:val="00B941A9"/>
    <w:rsid w:val="00B950D5"/>
    <w:rsid w:val="00B95DE0"/>
    <w:rsid w:val="00B96484"/>
    <w:rsid w:val="00B96668"/>
    <w:rsid w:val="00BA086B"/>
    <w:rsid w:val="00BA0D1E"/>
    <w:rsid w:val="00BA1063"/>
    <w:rsid w:val="00BA14E1"/>
    <w:rsid w:val="00BA2878"/>
    <w:rsid w:val="00BA3457"/>
    <w:rsid w:val="00BA5388"/>
    <w:rsid w:val="00BA5679"/>
    <w:rsid w:val="00BA59F8"/>
    <w:rsid w:val="00BA5BE6"/>
    <w:rsid w:val="00BA608C"/>
    <w:rsid w:val="00BA7E4A"/>
    <w:rsid w:val="00BB0C04"/>
    <w:rsid w:val="00BB2040"/>
    <w:rsid w:val="00BB218A"/>
    <w:rsid w:val="00BB3B21"/>
    <w:rsid w:val="00BB483F"/>
    <w:rsid w:val="00BB4858"/>
    <w:rsid w:val="00BB50CB"/>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D795B"/>
    <w:rsid w:val="00BE1D5F"/>
    <w:rsid w:val="00BE2348"/>
    <w:rsid w:val="00BE254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00E"/>
    <w:rsid w:val="00BF75EE"/>
    <w:rsid w:val="00BF7CEB"/>
    <w:rsid w:val="00C0104D"/>
    <w:rsid w:val="00C02A8B"/>
    <w:rsid w:val="00C030F4"/>
    <w:rsid w:val="00C03734"/>
    <w:rsid w:val="00C038BB"/>
    <w:rsid w:val="00C04CEA"/>
    <w:rsid w:val="00C055B8"/>
    <w:rsid w:val="00C07EAB"/>
    <w:rsid w:val="00C1003F"/>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5A76"/>
    <w:rsid w:val="00C371E1"/>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A09"/>
    <w:rsid w:val="00C47BFF"/>
    <w:rsid w:val="00C502ED"/>
    <w:rsid w:val="00C50713"/>
    <w:rsid w:val="00C51060"/>
    <w:rsid w:val="00C51A0E"/>
    <w:rsid w:val="00C526A7"/>
    <w:rsid w:val="00C52853"/>
    <w:rsid w:val="00C5361B"/>
    <w:rsid w:val="00C5392A"/>
    <w:rsid w:val="00C54142"/>
    <w:rsid w:val="00C55E2C"/>
    <w:rsid w:val="00C5612E"/>
    <w:rsid w:val="00C56BE2"/>
    <w:rsid w:val="00C6030D"/>
    <w:rsid w:val="00C60630"/>
    <w:rsid w:val="00C612B5"/>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0A73"/>
    <w:rsid w:val="00CA26A5"/>
    <w:rsid w:val="00CA27FC"/>
    <w:rsid w:val="00CA2E8B"/>
    <w:rsid w:val="00CA3192"/>
    <w:rsid w:val="00CA4AD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4E98"/>
    <w:rsid w:val="00CB655D"/>
    <w:rsid w:val="00CB659F"/>
    <w:rsid w:val="00CB725F"/>
    <w:rsid w:val="00CB79F7"/>
    <w:rsid w:val="00CC0070"/>
    <w:rsid w:val="00CC349B"/>
    <w:rsid w:val="00CC377A"/>
    <w:rsid w:val="00CC4737"/>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01AC"/>
    <w:rsid w:val="00D0171B"/>
    <w:rsid w:val="00D02294"/>
    <w:rsid w:val="00D03054"/>
    <w:rsid w:val="00D03067"/>
    <w:rsid w:val="00D03672"/>
    <w:rsid w:val="00D038D9"/>
    <w:rsid w:val="00D039EB"/>
    <w:rsid w:val="00D04269"/>
    <w:rsid w:val="00D06230"/>
    <w:rsid w:val="00D0691C"/>
    <w:rsid w:val="00D06E36"/>
    <w:rsid w:val="00D104B1"/>
    <w:rsid w:val="00D10C69"/>
    <w:rsid w:val="00D1198E"/>
    <w:rsid w:val="00D12F6B"/>
    <w:rsid w:val="00D134A9"/>
    <w:rsid w:val="00D1436C"/>
    <w:rsid w:val="00D14A3F"/>
    <w:rsid w:val="00D15A18"/>
    <w:rsid w:val="00D16CB3"/>
    <w:rsid w:val="00D17F5A"/>
    <w:rsid w:val="00D22CE8"/>
    <w:rsid w:val="00D23D24"/>
    <w:rsid w:val="00D24597"/>
    <w:rsid w:val="00D24B4D"/>
    <w:rsid w:val="00D24FF5"/>
    <w:rsid w:val="00D25383"/>
    <w:rsid w:val="00D2663B"/>
    <w:rsid w:val="00D26C04"/>
    <w:rsid w:val="00D30255"/>
    <w:rsid w:val="00D31034"/>
    <w:rsid w:val="00D3128D"/>
    <w:rsid w:val="00D333F5"/>
    <w:rsid w:val="00D33D63"/>
    <w:rsid w:val="00D34DBA"/>
    <w:rsid w:val="00D35311"/>
    <w:rsid w:val="00D35BE0"/>
    <w:rsid w:val="00D37EDD"/>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2560"/>
    <w:rsid w:val="00D63382"/>
    <w:rsid w:val="00D64ABF"/>
    <w:rsid w:val="00D67B0C"/>
    <w:rsid w:val="00D70943"/>
    <w:rsid w:val="00D71C9C"/>
    <w:rsid w:val="00D734E4"/>
    <w:rsid w:val="00D73958"/>
    <w:rsid w:val="00D7503F"/>
    <w:rsid w:val="00D751A9"/>
    <w:rsid w:val="00D754EC"/>
    <w:rsid w:val="00D756DC"/>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202"/>
    <w:rsid w:val="00DA06C1"/>
    <w:rsid w:val="00DA0A1D"/>
    <w:rsid w:val="00DA0AE6"/>
    <w:rsid w:val="00DA0FF3"/>
    <w:rsid w:val="00DA15EC"/>
    <w:rsid w:val="00DA1F2D"/>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170B"/>
    <w:rsid w:val="00DD1BD1"/>
    <w:rsid w:val="00DD2E03"/>
    <w:rsid w:val="00DD2F67"/>
    <w:rsid w:val="00DD3518"/>
    <w:rsid w:val="00DD3D38"/>
    <w:rsid w:val="00DD4080"/>
    <w:rsid w:val="00DD498A"/>
    <w:rsid w:val="00DD5E67"/>
    <w:rsid w:val="00DD6E12"/>
    <w:rsid w:val="00DD7C66"/>
    <w:rsid w:val="00DD7D8C"/>
    <w:rsid w:val="00DE0EEF"/>
    <w:rsid w:val="00DE1038"/>
    <w:rsid w:val="00DE188B"/>
    <w:rsid w:val="00DE18BA"/>
    <w:rsid w:val="00DE2A7A"/>
    <w:rsid w:val="00DE3284"/>
    <w:rsid w:val="00DE38FF"/>
    <w:rsid w:val="00DE3945"/>
    <w:rsid w:val="00DE42EF"/>
    <w:rsid w:val="00DE560D"/>
    <w:rsid w:val="00DE5705"/>
    <w:rsid w:val="00DE67E9"/>
    <w:rsid w:val="00DE6EA1"/>
    <w:rsid w:val="00DE783C"/>
    <w:rsid w:val="00DF0832"/>
    <w:rsid w:val="00DF0A33"/>
    <w:rsid w:val="00DF1CB9"/>
    <w:rsid w:val="00DF2103"/>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0830"/>
    <w:rsid w:val="00E12510"/>
    <w:rsid w:val="00E12670"/>
    <w:rsid w:val="00E12B7B"/>
    <w:rsid w:val="00E133D8"/>
    <w:rsid w:val="00E13F33"/>
    <w:rsid w:val="00E14342"/>
    <w:rsid w:val="00E146B1"/>
    <w:rsid w:val="00E152CD"/>
    <w:rsid w:val="00E1602D"/>
    <w:rsid w:val="00E16C25"/>
    <w:rsid w:val="00E1711B"/>
    <w:rsid w:val="00E17B6E"/>
    <w:rsid w:val="00E219CC"/>
    <w:rsid w:val="00E21FEE"/>
    <w:rsid w:val="00E233DF"/>
    <w:rsid w:val="00E23658"/>
    <w:rsid w:val="00E2414B"/>
    <w:rsid w:val="00E25357"/>
    <w:rsid w:val="00E256EA"/>
    <w:rsid w:val="00E26348"/>
    <w:rsid w:val="00E278F9"/>
    <w:rsid w:val="00E2794B"/>
    <w:rsid w:val="00E27F8E"/>
    <w:rsid w:val="00E30556"/>
    <w:rsid w:val="00E322A2"/>
    <w:rsid w:val="00E326AC"/>
    <w:rsid w:val="00E32F56"/>
    <w:rsid w:val="00E330A9"/>
    <w:rsid w:val="00E34037"/>
    <w:rsid w:val="00E3406E"/>
    <w:rsid w:val="00E35284"/>
    <w:rsid w:val="00E35375"/>
    <w:rsid w:val="00E36CB6"/>
    <w:rsid w:val="00E37D59"/>
    <w:rsid w:val="00E40303"/>
    <w:rsid w:val="00E41849"/>
    <w:rsid w:val="00E419D4"/>
    <w:rsid w:val="00E424AB"/>
    <w:rsid w:val="00E42B96"/>
    <w:rsid w:val="00E4483E"/>
    <w:rsid w:val="00E454D6"/>
    <w:rsid w:val="00E45DBA"/>
    <w:rsid w:val="00E45E23"/>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08"/>
    <w:rsid w:val="00E75718"/>
    <w:rsid w:val="00E75F7C"/>
    <w:rsid w:val="00E76252"/>
    <w:rsid w:val="00E76790"/>
    <w:rsid w:val="00E775AD"/>
    <w:rsid w:val="00E80FC9"/>
    <w:rsid w:val="00E8157B"/>
    <w:rsid w:val="00E815D0"/>
    <w:rsid w:val="00E81948"/>
    <w:rsid w:val="00E8228C"/>
    <w:rsid w:val="00E832AB"/>
    <w:rsid w:val="00E83F7E"/>
    <w:rsid w:val="00E84ED5"/>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3EE5"/>
    <w:rsid w:val="00EB646D"/>
    <w:rsid w:val="00EB6CD0"/>
    <w:rsid w:val="00EB76CF"/>
    <w:rsid w:val="00EB77DC"/>
    <w:rsid w:val="00EB7857"/>
    <w:rsid w:val="00EC05DF"/>
    <w:rsid w:val="00EC0C05"/>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6F3"/>
    <w:rsid w:val="00EE4726"/>
    <w:rsid w:val="00EE586D"/>
    <w:rsid w:val="00EE5FA4"/>
    <w:rsid w:val="00EE707C"/>
    <w:rsid w:val="00EF0DCE"/>
    <w:rsid w:val="00EF0F08"/>
    <w:rsid w:val="00EF2492"/>
    <w:rsid w:val="00EF38DD"/>
    <w:rsid w:val="00EF486E"/>
    <w:rsid w:val="00EF4CBF"/>
    <w:rsid w:val="00EF4EA5"/>
    <w:rsid w:val="00EF5A5F"/>
    <w:rsid w:val="00F011A9"/>
    <w:rsid w:val="00F02B47"/>
    <w:rsid w:val="00F03305"/>
    <w:rsid w:val="00F04027"/>
    <w:rsid w:val="00F04B5D"/>
    <w:rsid w:val="00F0661F"/>
    <w:rsid w:val="00F06668"/>
    <w:rsid w:val="00F0689C"/>
    <w:rsid w:val="00F06C1D"/>
    <w:rsid w:val="00F074AE"/>
    <w:rsid w:val="00F07A30"/>
    <w:rsid w:val="00F07C14"/>
    <w:rsid w:val="00F1025E"/>
    <w:rsid w:val="00F10CB5"/>
    <w:rsid w:val="00F11997"/>
    <w:rsid w:val="00F12B2B"/>
    <w:rsid w:val="00F13AEE"/>
    <w:rsid w:val="00F157C1"/>
    <w:rsid w:val="00F16C38"/>
    <w:rsid w:val="00F16E59"/>
    <w:rsid w:val="00F17A8A"/>
    <w:rsid w:val="00F20449"/>
    <w:rsid w:val="00F211F1"/>
    <w:rsid w:val="00F223E0"/>
    <w:rsid w:val="00F2409E"/>
    <w:rsid w:val="00F24293"/>
    <w:rsid w:val="00F25CB2"/>
    <w:rsid w:val="00F26B30"/>
    <w:rsid w:val="00F30411"/>
    <w:rsid w:val="00F338EB"/>
    <w:rsid w:val="00F3398F"/>
    <w:rsid w:val="00F34228"/>
    <w:rsid w:val="00F346D4"/>
    <w:rsid w:val="00F3751E"/>
    <w:rsid w:val="00F37921"/>
    <w:rsid w:val="00F37AB1"/>
    <w:rsid w:val="00F40079"/>
    <w:rsid w:val="00F4139D"/>
    <w:rsid w:val="00F43D1E"/>
    <w:rsid w:val="00F44146"/>
    <w:rsid w:val="00F44DB3"/>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0E75"/>
    <w:rsid w:val="00F61C67"/>
    <w:rsid w:val="00F61C82"/>
    <w:rsid w:val="00F63FA0"/>
    <w:rsid w:val="00F67240"/>
    <w:rsid w:val="00F70330"/>
    <w:rsid w:val="00F7112B"/>
    <w:rsid w:val="00F71D53"/>
    <w:rsid w:val="00F724F9"/>
    <w:rsid w:val="00F73692"/>
    <w:rsid w:val="00F73BF7"/>
    <w:rsid w:val="00F73D55"/>
    <w:rsid w:val="00F74994"/>
    <w:rsid w:val="00F749F1"/>
    <w:rsid w:val="00F74E21"/>
    <w:rsid w:val="00F77076"/>
    <w:rsid w:val="00F774F9"/>
    <w:rsid w:val="00F77E32"/>
    <w:rsid w:val="00F8075E"/>
    <w:rsid w:val="00F80839"/>
    <w:rsid w:val="00F8110A"/>
    <w:rsid w:val="00F81BB5"/>
    <w:rsid w:val="00F82159"/>
    <w:rsid w:val="00F8274F"/>
    <w:rsid w:val="00F8391D"/>
    <w:rsid w:val="00F83AAB"/>
    <w:rsid w:val="00F84365"/>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6DCE"/>
    <w:rsid w:val="00F97256"/>
    <w:rsid w:val="00F973FC"/>
    <w:rsid w:val="00F977F0"/>
    <w:rsid w:val="00F97DBA"/>
    <w:rsid w:val="00FA1E41"/>
    <w:rsid w:val="00FA2010"/>
    <w:rsid w:val="00FA22CC"/>
    <w:rsid w:val="00FA4335"/>
    <w:rsid w:val="00FA4EA2"/>
    <w:rsid w:val="00FA5597"/>
    <w:rsid w:val="00FA57A7"/>
    <w:rsid w:val="00FA5D50"/>
    <w:rsid w:val="00FB0625"/>
    <w:rsid w:val="00FB1C02"/>
    <w:rsid w:val="00FB2C08"/>
    <w:rsid w:val="00FB31C4"/>
    <w:rsid w:val="00FB39D5"/>
    <w:rsid w:val="00FB48C6"/>
    <w:rsid w:val="00FB4B5C"/>
    <w:rsid w:val="00FB5C1C"/>
    <w:rsid w:val="00FB6860"/>
    <w:rsid w:val="00FB7A5A"/>
    <w:rsid w:val="00FC0046"/>
    <w:rsid w:val="00FC0352"/>
    <w:rsid w:val="00FC0A8C"/>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047"/>
    <w:rsid w:val="00FE0D3F"/>
    <w:rsid w:val="00FE2E4F"/>
    <w:rsid w:val="00FE3227"/>
    <w:rsid w:val="00FE424A"/>
    <w:rsid w:val="00FE4D04"/>
    <w:rsid w:val="00FE5889"/>
    <w:rsid w:val="00FE68EF"/>
    <w:rsid w:val="00FE74AD"/>
    <w:rsid w:val="00FE7695"/>
    <w:rsid w:val="00FF1600"/>
    <w:rsid w:val="00FF365F"/>
    <w:rsid w:val="00FF480F"/>
    <w:rsid w:val="00FF51C9"/>
    <w:rsid w:val="00FF6697"/>
    <w:rsid w:val="00FF716D"/>
    <w:rsid w:val="049FA704"/>
    <w:rsid w:val="06DF241D"/>
    <w:rsid w:val="0A4D9ABA"/>
    <w:rsid w:val="0ADA579C"/>
    <w:rsid w:val="0B729C41"/>
    <w:rsid w:val="168209B4"/>
    <w:rsid w:val="17A2880D"/>
    <w:rsid w:val="1A733208"/>
    <w:rsid w:val="1CA849FC"/>
    <w:rsid w:val="2381C4EF"/>
    <w:rsid w:val="2C2029A8"/>
    <w:rsid w:val="3016E4C7"/>
    <w:rsid w:val="3C8282E5"/>
    <w:rsid w:val="40A8C932"/>
    <w:rsid w:val="415780AD"/>
    <w:rsid w:val="42449993"/>
    <w:rsid w:val="442F5256"/>
    <w:rsid w:val="4CCDB70F"/>
    <w:rsid w:val="4D70AFD4"/>
    <w:rsid w:val="50E98C9E"/>
    <w:rsid w:val="57ABD8BA"/>
    <w:rsid w:val="5A383008"/>
    <w:rsid w:val="5E139902"/>
    <w:rsid w:val="5F012E2F"/>
    <w:rsid w:val="5F1E73E4"/>
    <w:rsid w:val="5F2B2AF3"/>
    <w:rsid w:val="6719EF16"/>
    <w:rsid w:val="68B5BF77"/>
    <w:rsid w:val="693EE30C"/>
    <w:rsid w:val="6AC50ED9"/>
    <w:rsid w:val="6ADAB36D"/>
    <w:rsid w:val="6C7683CE"/>
    <w:rsid w:val="6E12542F"/>
    <w:rsid w:val="7117A149"/>
    <w:rsid w:val="72753482"/>
    <w:rsid w:val="72D98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037">
      <w:bodyDiv w:val="1"/>
      <w:marLeft w:val="0"/>
      <w:marRight w:val="0"/>
      <w:marTop w:val="0"/>
      <w:marBottom w:val="0"/>
      <w:divBdr>
        <w:top w:val="none" w:sz="0" w:space="0" w:color="auto"/>
        <w:left w:val="none" w:sz="0" w:space="0" w:color="auto"/>
        <w:bottom w:val="none" w:sz="0" w:space="0" w:color="auto"/>
        <w:right w:val="none" w:sz="0" w:space="0" w:color="auto"/>
      </w:divBdr>
      <w:divsChild>
        <w:div w:id="1000231987">
          <w:marLeft w:val="115"/>
          <w:marRight w:val="0"/>
          <w:marTop w:val="0"/>
          <w:marBottom w:val="0"/>
          <w:divBdr>
            <w:top w:val="none" w:sz="0" w:space="0" w:color="auto"/>
            <w:left w:val="none" w:sz="0" w:space="0" w:color="auto"/>
            <w:bottom w:val="none" w:sz="0" w:space="0" w:color="auto"/>
            <w:right w:val="none" w:sz="0" w:space="0" w:color="auto"/>
          </w:divBdr>
        </w:div>
        <w:div w:id="1687290509">
          <w:marLeft w:val="115"/>
          <w:marRight w:val="0"/>
          <w:marTop w:val="0"/>
          <w:marBottom w:val="0"/>
          <w:divBdr>
            <w:top w:val="none" w:sz="0" w:space="0" w:color="auto"/>
            <w:left w:val="none" w:sz="0" w:space="0" w:color="auto"/>
            <w:bottom w:val="none" w:sz="0" w:space="0" w:color="auto"/>
            <w:right w:val="none" w:sz="0" w:space="0" w:color="auto"/>
          </w:divBdr>
        </w:div>
        <w:div w:id="791175350">
          <w:marLeft w:val="115"/>
          <w:marRight w:val="0"/>
          <w:marTop w:val="0"/>
          <w:marBottom w:val="0"/>
          <w:divBdr>
            <w:top w:val="none" w:sz="0" w:space="0" w:color="auto"/>
            <w:left w:val="none" w:sz="0" w:space="0" w:color="auto"/>
            <w:bottom w:val="none" w:sz="0" w:space="0" w:color="auto"/>
            <w:right w:val="none" w:sz="0" w:space="0" w:color="auto"/>
          </w:divBdr>
        </w:div>
        <w:div w:id="1223060261">
          <w:marLeft w:val="115"/>
          <w:marRight w:val="0"/>
          <w:marTop w:val="0"/>
          <w:marBottom w:val="0"/>
          <w:divBdr>
            <w:top w:val="none" w:sz="0" w:space="0" w:color="auto"/>
            <w:left w:val="none" w:sz="0" w:space="0" w:color="auto"/>
            <w:bottom w:val="none" w:sz="0" w:space="0" w:color="auto"/>
            <w:right w:val="none" w:sz="0" w:space="0" w:color="auto"/>
          </w:divBdr>
        </w:div>
        <w:div w:id="1770661103">
          <w:marLeft w:val="115"/>
          <w:marRight w:val="0"/>
          <w:marTop w:val="0"/>
          <w:marBottom w:val="0"/>
          <w:divBdr>
            <w:top w:val="none" w:sz="0" w:space="0" w:color="auto"/>
            <w:left w:val="none" w:sz="0" w:space="0" w:color="auto"/>
            <w:bottom w:val="none" w:sz="0" w:space="0" w:color="auto"/>
            <w:right w:val="none" w:sz="0" w:space="0" w:color="auto"/>
          </w:divBdr>
        </w:div>
        <w:div w:id="336082704">
          <w:marLeft w:val="115"/>
          <w:marRight w:val="0"/>
          <w:marTop w:val="0"/>
          <w:marBottom w:val="0"/>
          <w:divBdr>
            <w:top w:val="none" w:sz="0" w:space="0" w:color="auto"/>
            <w:left w:val="none" w:sz="0" w:space="0" w:color="auto"/>
            <w:bottom w:val="none" w:sz="0" w:space="0" w:color="auto"/>
            <w:right w:val="none" w:sz="0" w:space="0" w:color="auto"/>
          </w:divBdr>
        </w:div>
        <w:div w:id="569577091">
          <w:marLeft w:val="115"/>
          <w:marRight w:val="0"/>
          <w:marTop w:val="0"/>
          <w:marBottom w:val="0"/>
          <w:divBdr>
            <w:top w:val="none" w:sz="0" w:space="0" w:color="auto"/>
            <w:left w:val="none" w:sz="0" w:space="0" w:color="auto"/>
            <w:bottom w:val="none" w:sz="0" w:space="0" w:color="auto"/>
            <w:right w:val="none" w:sz="0" w:space="0" w:color="auto"/>
          </w:divBdr>
        </w:div>
        <w:div w:id="43720338">
          <w:marLeft w:val="115"/>
          <w:marRight w:val="0"/>
          <w:marTop w:val="0"/>
          <w:marBottom w:val="0"/>
          <w:divBdr>
            <w:top w:val="none" w:sz="0" w:space="0" w:color="auto"/>
            <w:left w:val="none" w:sz="0" w:space="0" w:color="auto"/>
            <w:bottom w:val="none" w:sz="0" w:space="0" w:color="auto"/>
            <w:right w:val="none" w:sz="0" w:space="0" w:color="auto"/>
          </w:divBdr>
        </w:div>
        <w:div w:id="1255435109">
          <w:marLeft w:val="115"/>
          <w:marRight w:val="0"/>
          <w:marTop w:val="0"/>
          <w:marBottom w:val="0"/>
          <w:divBdr>
            <w:top w:val="none" w:sz="0" w:space="0" w:color="auto"/>
            <w:left w:val="none" w:sz="0" w:space="0" w:color="auto"/>
            <w:bottom w:val="none" w:sz="0" w:space="0" w:color="auto"/>
            <w:right w:val="none" w:sz="0" w:space="0" w:color="auto"/>
          </w:divBdr>
        </w:div>
        <w:div w:id="629290401">
          <w:marLeft w:val="115"/>
          <w:marRight w:val="0"/>
          <w:marTop w:val="0"/>
          <w:marBottom w:val="0"/>
          <w:divBdr>
            <w:top w:val="none" w:sz="0" w:space="0" w:color="auto"/>
            <w:left w:val="none" w:sz="0" w:space="0" w:color="auto"/>
            <w:bottom w:val="none" w:sz="0" w:space="0" w:color="auto"/>
            <w:right w:val="none" w:sz="0" w:space="0" w:color="auto"/>
          </w:divBdr>
        </w:div>
        <w:div w:id="1386955573">
          <w:marLeft w:val="115"/>
          <w:marRight w:val="0"/>
          <w:marTop w:val="0"/>
          <w:marBottom w:val="0"/>
          <w:divBdr>
            <w:top w:val="none" w:sz="0" w:space="0" w:color="auto"/>
            <w:left w:val="none" w:sz="0" w:space="0" w:color="auto"/>
            <w:bottom w:val="none" w:sz="0" w:space="0" w:color="auto"/>
            <w:right w:val="none" w:sz="0" w:space="0" w:color="auto"/>
          </w:divBdr>
        </w:div>
        <w:div w:id="484131895">
          <w:marLeft w:val="115"/>
          <w:marRight w:val="0"/>
          <w:marTop w:val="0"/>
          <w:marBottom w:val="0"/>
          <w:divBdr>
            <w:top w:val="none" w:sz="0" w:space="0" w:color="auto"/>
            <w:left w:val="none" w:sz="0" w:space="0" w:color="auto"/>
            <w:bottom w:val="none" w:sz="0" w:space="0" w:color="auto"/>
            <w:right w:val="none" w:sz="0" w:space="0" w:color="auto"/>
          </w:divBdr>
        </w:div>
        <w:div w:id="398752928">
          <w:marLeft w:val="115"/>
          <w:marRight w:val="0"/>
          <w:marTop w:val="0"/>
          <w:marBottom w:val="0"/>
          <w:divBdr>
            <w:top w:val="none" w:sz="0" w:space="0" w:color="auto"/>
            <w:left w:val="none" w:sz="0" w:space="0" w:color="auto"/>
            <w:bottom w:val="none" w:sz="0" w:space="0" w:color="auto"/>
            <w:right w:val="none" w:sz="0" w:space="0" w:color="auto"/>
          </w:divBdr>
        </w:div>
        <w:div w:id="1405880536">
          <w:marLeft w:val="115"/>
          <w:marRight w:val="0"/>
          <w:marTop w:val="0"/>
          <w:marBottom w:val="0"/>
          <w:divBdr>
            <w:top w:val="none" w:sz="0" w:space="0" w:color="auto"/>
            <w:left w:val="none" w:sz="0" w:space="0" w:color="auto"/>
            <w:bottom w:val="none" w:sz="0" w:space="0" w:color="auto"/>
            <w:right w:val="none" w:sz="0" w:space="0" w:color="auto"/>
          </w:divBdr>
        </w:div>
        <w:div w:id="428357989">
          <w:marLeft w:val="115"/>
          <w:marRight w:val="0"/>
          <w:marTop w:val="0"/>
          <w:marBottom w:val="0"/>
          <w:divBdr>
            <w:top w:val="none" w:sz="0" w:space="0" w:color="auto"/>
            <w:left w:val="none" w:sz="0" w:space="0" w:color="auto"/>
            <w:bottom w:val="none" w:sz="0" w:space="0" w:color="auto"/>
            <w:right w:val="none" w:sz="0" w:space="0" w:color="auto"/>
          </w:divBdr>
        </w:div>
        <w:div w:id="127014860">
          <w:marLeft w:val="562"/>
          <w:marRight w:val="0"/>
          <w:marTop w:val="0"/>
          <w:marBottom w:val="0"/>
          <w:divBdr>
            <w:top w:val="none" w:sz="0" w:space="0" w:color="auto"/>
            <w:left w:val="none" w:sz="0" w:space="0" w:color="auto"/>
            <w:bottom w:val="none" w:sz="0" w:space="0" w:color="auto"/>
            <w:right w:val="none" w:sz="0" w:space="0" w:color="auto"/>
          </w:divBdr>
        </w:div>
        <w:div w:id="851532085">
          <w:marLeft w:val="115"/>
          <w:marRight w:val="0"/>
          <w:marTop w:val="0"/>
          <w:marBottom w:val="0"/>
          <w:divBdr>
            <w:top w:val="none" w:sz="0" w:space="0" w:color="auto"/>
            <w:left w:val="none" w:sz="0" w:space="0" w:color="auto"/>
            <w:bottom w:val="none" w:sz="0" w:space="0" w:color="auto"/>
            <w:right w:val="none" w:sz="0" w:space="0" w:color="auto"/>
          </w:divBdr>
        </w:div>
        <w:div w:id="1445537548">
          <w:marLeft w:val="115"/>
          <w:marRight w:val="0"/>
          <w:marTop w:val="0"/>
          <w:marBottom w:val="0"/>
          <w:divBdr>
            <w:top w:val="none" w:sz="0" w:space="0" w:color="auto"/>
            <w:left w:val="none" w:sz="0" w:space="0" w:color="auto"/>
            <w:bottom w:val="none" w:sz="0" w:space="0" w:color="auto"/>
            <w:right w:val="none" w:sz="0" w:space="0" w:color="auto"/>
          </w:divBdr>
        </w:div>
        <w:div w:id="387342305">
          <w:marLeft w:val="115"/>
          <w:marRight w:val="0"/>
          <w:marTop w:val="0"/>
          <w:marBottom w:val="0"/>
          <w:divBdr>
            <w:top w:val="none" w:sz="0" w:space="0" w:color="auto"/>
            <w:left w:val="none" w:sz="0" w:space="0" w:color="auto"/>
            <w:bottom w:val="none" w:sz="0" w:space="0" w:color="auto"/>
            <w:right w:val="none" w:sz="0" w:space="0" w:color="auto"/>
          </w:divBdr>
        </w:div>
        <w:div w:id="1704791679">
          <w:marLeft w:val="115"/>
          <w:marRight w:val="0"/>
          <w:marTop w:val="0"/>
          <w:marBottom w:val="0"/>
          <w:divBdr>
            <w:top w:val="none" w:sz="0" w:space="0" w:color="auto"/>
            <w:left w:val="none" w:sz="0" w:space="0" w:color="auto"/>
            <w:bottom w:val="none" w:sz="0" w:space="0" w:color="auto"/>
            <w:right w:val="none" w:sz="0" w:space="0" w:color="auto"/>
          </w:divBdr>
        </w:div>
        <w:div w:id="1991209192">
          <w:marLeft w:val="115"/>
          <w:marRight w:val="0"/>
          <w:marTop w:val="0"/>
          <w:marBottom w:val="0"/>
          <w:divBdr>
            <w:top w:val="none" w:sz="0" w:space="0" w:color="auto"/>
            <w:left w:val="none" w:sz="0" w:space="0" w:color="auto"/>
            <w:bottom w:val="none" w:sz="0" w:space="0" w:color="auto"/>
            <w:right w:val="none" w:sz="0" w:space="0" w:color="auto"/>
          </w:divBdr>
        </w:div>
        <w:div w:id="2078474482">
          <w:marLeft w:val="115"/>
          <w:marRight w:val="0"/>
          <w:marTop w:val="0"/>
          <w:marBottom w:val="0"/>
          <w:divBdr>
            <w:top w:val="none" w:sz="0" w:space="0" w:color="auto"/>
            <w:left w:val="none" w:sz="0" w:space="0" w:color="auto"/>
            <w:bottom w:val="none" w:sz="0" w:space="0" w:color="auto"/>
            <w:right w:val="none" w:sz="0" w:space="0" w:color="auto"/>
          </w:divBdr>
        </w:div>
        <w:div w:id="154683768">
          <w:marLeft w:val="115"/>
          <w:marRight w:val="0"/>
          <w:marTop w:val="0"/>
          <w:marBottom w:val="0"/>
          <w:divBdr>
            <w:top w:val="none" w:sz="0" w:space="0" w:color="auto"/>
            <w:left w:val="none" w:sz="0" w:space="0" w:color="auto"/>
            <w:bottom w:val="none" w:sz="0" w:space="0" w:color="auto"/>
            <w:right w:val="none" w:sz="0" w:space="0" w:color="auto"/>
          </w:divBdr>
        </w:div>
        <w:div w:id="1479610537">
          <w:marLeft w:val="115"/>
          <w:marRight w:val="0"/>
          <w:marTop w:val="0"/>
          <w:marBottom w:val="0"/>
          <w:divBdr>
            <w:top w:val="none" w:sz="0" w:space="0" w:color="auto"/>
            <w:left w:val="none" w:sz="0" w:space="0" w:color="auto"/>
            <w:bottom w:val="none" w:sz="0" w:space="0" w:color="auto"/>
            <w:right w:val="none" w:sz="0" w:space="0" w:color="auto"/>
          </w:divBdr>
        </w:div>
        <w:div w:id="1920208067">
          <w:marLeft w:val="115"/>
          <w:marRight w:val="0"/>
          <w:marTop w:val="0"/>
          <w:marBottom w:val="0"/>
          <w:divBdr>
            <w:top w:val="none" w:sz="0" w:space="0" w:color="auto"/>
            <w:left w:val="none" w:sz="0" w:space="0" w:color="auto"/>
            <w:bottom w:val="none" w:sz="0" w:space="0" w:color="auto"/>
            <w:right w:val="none" w:sz="0" w:space="0" w:color="auto"/>
          </w:divBdr>
        </w:div>
        <w:div w:id="232352143">
          <w:marLeft w:val="115"/>
          <w:marRight w:val="0"/>
          <w:marTop w:val="0"/>
          <w:marBottom w:val="0"/>
          <w:divBdr>
            <w:top w:val="none" w:sz="0" w:space="0" w:color="auto"/>
            <w:left w:val="none" w:sz="0" w:space="0" w:color="auto"/>
            <w:bottom w:val="none" w:sz="0" w:space="0" w:color="auto"/>
            <w:right w:val="none" w:sz="0" w:space="0" w:color="auto"/>
          </w:divBdr>
        </w:div>
        <w:div w:id="854417051">
          <w:marLeft w:val="115"/>
          <w:marRight w:val="0"/>
          <w:marTop w:val="0"/>
          <w:marBottom w:val="0"/>
          <w:divBdr>
            <w:top w:val="none" w:sz="0" w:space="0" w:color="auto"/>
            <w:left w:val="none" w:sz="0" w:space="0" w:color="auto"/>
            <w:bottom w:val="none" w:sz="0" w:space="0" w:color="auto"/>
            <w:right w:val="none" w:sz="0" w:space="0" w:color="auto"/>
          </w:divBdr>
        </w:div>
        <w:div w:id="156576998">
          <w:marLeft w:val="115"/>
          <w:marRight w:val="0"/>
          <w:marTop w:val="0"/>
          <w:marBottom w:val="0"/>
          <w:divBdr>
            <w:top w:val="none" w:sz="0" w:space="0" w:color="auto"/>
            <w:left w:val="none" w:sz="0" w:space="0" w:color="auto"/>
            <w:bottom w:val="none" w:sz="0" w:space="0" w:color="auto"/>
            <w:right w:val="none" w:sz="0" w:space="0" w:color="auto"/>
          </w:divBdr>
        </w:div>
        <w:div w:id="360668891">
          <w:marLeft w:val="115"/>
          <w:marRight w:val="0"/>
          <w:marTop w:val="0"/>
          <w:marBottom w:val="0"/>
          <w:divBdr>
            <w:top w:val="none" w:sz="0" w:space="0" w:color="auto"/>
            <w:left w:val="none" w:sz="0" w:space="0" w:color="auto"/>
            <w:bottom w:val="none" w:sz="0" w:space="0" w:color="auto"/>
            <w:right w:val="none" w:sz="0" w:space="0" w:color="auto"/>
          </w:divBdr>
        </w:div>
      </w:divsChild>
    </w:div>
    <w:div w:id="81219405">
      <w:bodyDiv w:val="1"/>
      <w:marLeft w:val="0"/>
      <w:marRight w:val="0"/>
      <w:marTop w:val="0"/>
      <w:marBottom w:val="0"/>
      <w:divBdr>
        <w:top w:val="none" w:sz="0" w:space="0" w:color="auto"/>
        <w:left w:val="none" w:sz="0" w:space="0" w:color="auto"/>
        <w:bottom w:val="none" w:sz="0" w:space="0" w:color="auto"/>
        <w:right w:val="none" w:sz="0" w:space="0" w:color="auto"/>
      </w:divBdr>
      <w:divsChild>
        <w:div w:id="643968179">
          <w:marLeft w:val="115"/>
          <w:marRight w:val="0"/>
          <w:marTop w:val="0"/>
          <w:marBottom w:val="0"/>
          <w:divBdr>
            <w:top w:val="none" w:sz="0" w:space="0" w:color="auto"/>
            <w:left w:val="none" w:sz="0" w:space="0" w:color="auto"/>
            <w:bottom w:val="none" w:sz="0" w:space="0" w:color="auto"/>
            <w:right w:val="none" w:sz="0" w:space="0" w:color="auto"/>
          </w:divBdr>
        </w:div>
        <w:div w:id="1599750349">
          <w:marLeft w:val="115"/>
          <w:marRight w:val="0"/>
          <w:marTop w:val="0"/>
          <w:marBottom w:val="0"/>
          <w:divBdr>
            <w:top w:val="none" w:sz="0" w:space="0" w:color="auto"/>
            <w:left w:val="none" w:sz="0" w:space="0" w:color="auto"/>
            <w:bottom w:val="none" w:sz="0" w:space="0" w:color="auto"/>
            <w:right w:val="none" w:sz="0" w:space="0" w:color="auto"/>
          </w:divBdr>
        </w:div>
        <w:div w:id="1518226924">
          <w:marLeft w:val="115"/>
          <w:marRight w:val="0"/>
          <w:marTop w:val="0"/>
          <w:marBottom w:val="0"/>
          <w:divBdr>
            <w:top w:val="none" w:sz="0" w:space="0" w:color="auto"/>
            <w:left w:val="none" w:sz="0" w:space="0" w:color="auto"/>
            <w:bottom w:val="none" w:sz="0" w:space="0" w:color="auto"/>
            <w:right w:val="none" w:sz="0" w:space="0" w:color="auto"/>
          </w:divBdr>
        </w:div>
        <w:div w:id="690109044">
          <w:marLeft w:val="115"/>
          <w:marRight w:val="0"/>
          <w:marTop w:val="0"/>
          <w:marBottom w:val="0"/>
          <w:divBdr>
            <w:top w:val="none" w:sz="0" w:space="0" w:color="auto"/>
            <w:left w:val="none" w:sz="0" w:space="0" w:color="auto"/>
            <w:bottom w:val="none" w:sz="0" w:space="0" w:color="auto"/>
            <w:right w:val="none" w:sz="0" w:space="0" w:color="auto"/>
          </w:divBdr>
        </w:div>
        <w:div w:id="188378598">
          <w:marLeft w:val="115"/>
          <w:marRight w:val="0"/>
          <w:marTop w:val="0"/>
          <w:marBottom w:val="0"/>
          <w:divBdr>
            <w:top w:val="none" w:sz="0" w:space="0" w:color="auto"/>
            <w:left w:val="none" w:sz="0" w:space="0" w:color="auto"/>
            <w:bottom w:val="none" w:sz="0" w:space="0" w:color="auto"/>
            <w:right w:val="none" w:sz="0" w:space="0" w:color="auto"/>
          </w:divBdr>
        </w:div>
        <w:div w:id="1212496205">
          <w:marLeft w:val="115"/>
          <w:marRight w:val="0"/>
          <w:marTop w:val="0"/>
          <w:marBottom w:val="0"/>
          <w:divBdr>
            <w:top w:val="none" w:sz="0" w:space="0" w:color="auto"/>
            <w:left w:val="none" w:sz="0" w:space="0" w:color="auto"/>
            <w:bottom w:val="none" w:sz="0" w:space="0" w:color="auto"/>
            <w:right w:val="none" w:sz="0" w:space="0" w:color="auto"/>
          </w:divBdr>
        </w:div>
        <w:div w:id="1666973798">
          <w:marLeft w:val="115"/>
          <w:marRight w:val="0"/>
          <w:marTop w:val="0"/>
          <w:marBottom w:val="0"/>
          <w:divBdr>
            <w:top w:val="none" w:sz="0" w:space="0" w:color="auto"/>
            <w:left w:val="none" w:sz="0" w:space="0" w:color="auto"/>
            <w:bottom w:val="none" w:sz="0" w:space="0" w:color="auto"/>
            <w:right w:val="none" w:sz="0" w:space="0" w:color="auto"/>
          </w:divBdr>
        </w:div>
        <w:div w:id="1391727280">
          <w:marLeft w:val="115"/>
          <w:marRight w:val="0"/>
          <w:marTop w:val="0"/>
          <w:marBottom w:val="0"/>
          <w:divBdr>
            <w:top w:val="none" w:sz="0" w:space="0" w:color="auto"/>
            <w:left w:val="none" w:sz="0" w:space="0" w:color="auto"/>
            <w:bottom w:val="none" w:sz="0" w:space="0" w:color="auto"/>
            <w:right w:val="none" w:sz="0" w:space="0" w:color="auto"/>
          </w:divBdr>
        </w:div>
        <w:div w:id="2041200298">
          <w:marLeft w:val="115"/>
          <w:marRight w:val="0"/>
          <w:marTop w:val="0"/>
          <w:marBottom w:val="0"/>
          <w:divBdr>
            <w:top w:val="none" w:sz="0" w:space="0" w:color="auto"/>
            <w:left w:val="none" w:sz="0" w:space="0" w:color="auto"/>
            <w:bottom w:val="none" w:sz="0" w:space="0" w:color="auto"/>
            <w:right w:val="none" w:sz="0" w:space="0" w:color="auto"/>
          </w:divBdr>
        </w:div>
        <w:div w:id="2090036025">
          <w:marLeft w:val="115"/>
          <w:marRight w:val="0"/>
          <w:marTop w:val="0"/>
          <w:marBottom w:val="0"/>
          <w:divBdr>
            <w:top w:val="none" w:sz="0" w:space="0" w:color="auto"/>
            <w:left w:val="none" w:sz="0" w:space="0" w:color="auto"/>
            <w:bottom w:val="none" w:sz="0" w:space="0" w:color="auto"/>
            <w:right w:val="none" w:sz="0" w:space="0" w:color="auto"/>
          </w:divBdr>
        </w:div>
        <w:div w:id="993875736">
          <w:marLeft w:val="115"/>
          <w:marRight w:val="0"/>
          <w:marTop w:val="0"/>
          <w:marBottom w:val="0"/>
          <w:divBdr>
            <w:top w:val="none" w:sz="0" w:space="0" w:color="auto"/>
            <w:left w:val="none" w:sz="0" w:space="0" w:color="auto"/>
            <w:bottom w:val="none" w:sz="0" w:space="0" w:color="auto"/>
            <w:right w:val="none" w:sz="0" w:space="0" w:color="auto"/>
          </w:divBdr>
        </w:div>
        <w:div w:id="1166558889">
          <w:marLeft w:val="115"/>
          <w:marRight w:val="0"/>
          <w:marTop w:val="0"/>
          <w:marBottom w:val="0"/>
          <w:divBdr>
            <w:top w:val="none" w:sz="0" w:space="0" w:color="auto"/>
            <w:left w:val="none" w:sz="0" w:space="0" w:color="auto"/>
            <w:bottom w:val="none" w:sz="0" w:space="0" w:color="auto"/>
            <w:right w:val="none" w:sz="0" w:space="0" w:color="auto"/>
          </w:divBdr>
        </w:div>
        <w:div w:id="773984845">
          <w:marLeft w:val="115"/>
          <w:marRight w:val="0"/>
          <w:marTop w:val="0"/>
          <w:marBottom w:val="0"/>
          <w:divBdr>
            <w:top w:val="none" w:sz="0" w:space="0" w:color="auto"/>
            <w:left w:val="none" w:sz="0" w:space="0" w:color="auto"/>
            <w:bottom w:val="none" w:sz="0" w:space="0" w:color="auto"/>
            <w:right w:val="none" w:sz="0" w:space="0" w:color="auto"/>
          </w:divBdr>
        </w:div>
        <w:div w:id="59332042">
          <w:marLeft w:val="115"/>
          <w:marRight w:val="0"/>
          <w:marTop w:val="0"/>
          <w:marBottom w:val="0"/>
          <w:divBdr>
            <w:top w:val="none" w:sz="0" w:space="0" w:color="auto"/>
            <w:left w:val="none" w:sz="0" w:space="0" w:color="auto"/>
            <w:bottom w:val="none" w:sz="0" w:space="0" w:color="auto"/>
            <w:right w:val="none" w:sz="0" w:space="0" w:color="auto"/>
          </w:divBdr>
        </w:div>
        <w:div w:id="711808536">
          <w:marLeft w:val="115"/>
          <w:marRight w:val="0"/>
          <w:marTop w:val="0"/>
          <w:marBottom w:val="0"/>
          <w:divBdr>
            <w:top w:val="none" w:sz="0" w:space="0" w:color="auto"/>
            <w:left w:val="none" w:sz="0" w:space="0" w:color="auto"/>
            <w:bottom w:val="none" w:sz="0" w:space="0" w:color="auto"/>
            <w:right w:val="none" w:sz="0" w:space="0" w:color="auto"/>
          </w:divBdr>
        </w:div>
        <w:div w:id="1336495610">
          <w:marLeft w:val="562"/>
          <w:marRight w:val="0"/>
          <w:marTop w:val="0"/>
          <w:marBottom w:val="0"/>
          <w:divBdr>
            <w:top w:val="none" w:sz="0" w:space="0" w:color="auto"/>
            <w:left w:val="none" w:sz="0" w:space="0" w:color="auto"/>
            <w:bottom w:val="none" w:sz="0" w:space="0" w:color="auto"/>
            <w:right w:val="none" w:sz="0" w:space="0" w:color="auto"/>
          </w:divBdr>
        </w:div>
        <w:div w:id="1304197749">
          <w:marLeft w:val="115"/>
          <w:marRight w:val="0"/>
          <w:marTop w:val="0"/>
          <w:marBottom w:val="0"/>
          <w:divBdr>
            <w:top w:val="none" w:sz="0" w:space="0" w:color="auto"/>
            <w:left w:val="none" w:sz="0" w:space="0" w:color="auto"/>
            <w:bottom w:val="none" w:sz="0" w:space="0" w:color="auto"/>
            <w:right w:val="none" w:sz="0" w:space="0" w:color="auto"/>
          </w:divBdr>
        </w:div>
        <w:div w:id="1901793922">
          <w:marLeft w:val="115"/>
          <w:marRight w:val="0"/>
          <w:marTop w:val="0"/>
          <w:marBottom w:val="0"/>
          <w:divBdr>
            <w:top w:val="none" w:sz="0" w:space="0" w:color="auto"/>
            <w:left w:val="none" w:sz="0" w:space="0" w:color="auto"/>
            <w:bottom w:val="none" w:sz="0" w:space="0" w:color="auto"/>
            <w:right w:val="none" w:sz="0" w:space="0" w:color="auto"/>
          </w:divBdr>
        </w:div>
        <w:div w:id="1817645561">
          <w:marLeft w:val="115"/>
          <w:marRight w:val="0"/>
          <w:marTop w:val="0"/>
          <w:marBottom w:val="0"/>
          <w:divBdr>
            <w:top w:val="none" w:sz="0" w:space="0" w:color="auto"/>
            <w:left w:val="none" w:sz="0" w:space="0" w:color="auto"/>
            <w:bottom w:val="none" w:sz="0" w:space="0" w:color="auto"/>
            <w:right w:val="none" w:sz="0" w:space="0" w:color="auto"/>
          </w:divBdr>
        </w:div>
        <w:div w:id="1939749366">
          <w:marLeft w:val="115"/>
          <w:marRight w:val="0"/>
          <w:marTop w:val="0"/>
          <w:marBottom w:val="0"/>
          <w:divBdr>
            <w:top w:val="none" w:sz="0" w:space="0" w:color="auto"/>
            <w:left w:val="none" w:sz="0" w:space="0" w:color="auto"/>
            <w:bottom w:val="none" w:sz="0" w:space="0" w:color="auto"/>
            <w:right w:val="none" w:sz="0" w:space="0" w:color="auto"/>
          </w:divBdr>
        </w:div>
        <w:div w:id="1189443788">
          <w:marLeft w:val="115"/>
          <w:marRight w:val="0"/>
          <w:marTop w:val="0"/>
          <w:marBottom w:val="0"/>
          <w:divBdr>
            <w:top w:val="none" w:sz="0" w:space="0" w:color="auto"/>
            <w:left w:val="none" w:sz="0" w:space="0" w:color="auto"/>
            <w:bottom w:val="none" w:sz="0" w:space="0" w:color="auto"/>
            <w:right w:val="none" w:sz="0" w:space="0" w:color="auto"/>
          </w:divBdr>
        </w:div>
        <w:div w:id="1190148368">
          <w:marLeft w:val="115"/>
          <w:marRight w:val="0"/>
          <w:marTop w:val="0"/>
          <w:marBottom w:val="0"/>
          <w:divBdr>
            <w:top w:val="none" w:sz="0" w:space="0" w:color="auto"/>
            <w:left w:val="none" w:sz="0" w:space="0" w:color="auto"/>
            <w:bottom w:val="none" w:sz="0" w:space="0" w:color="auto"/>
            <w:right w:val="none" w:sz="0" w:space="0" w:color="auto"/>
          </w:divBdr>
        </w:div>
        <w:div w:id="199830058">
          <w:marLeft w:val="115"/>
          <w:marRight w:val="0"/>
          <w:marTop w:val="0"/>
          <w:marBottom w:val="0"/>
          <w:divBdr>
            <w:top w:val="none" w:sz="0" w:space="0" w:color="auto"/>
            <w:left w:val="none" w:sz="0" w:space="0" w:color="auto"/>
            <w:bottom w:val="none" w:sz="0" w:space="0" w:color="auto"/>
            <w:right w:val="none" w:sz="0" w:space="0" w:color="auto"/>
          </w:divBdr>
        </w:div>
        <w:div w:id="192887937">
          <w:marLeft w:val="115"/>
          <w:marRight w:val="0"/>
          <w:marTop w:val="0"/>
          <w:marBottom w:val="0"/>
          <w:divBdr>
            <w:top w:val="none" w:sz="0" w:space="0" w:color="auto"/>
            <w:left w:val="none" w:sz="0" w:space="0" w:color="auto"/>
            <w:bottom w:val="none" w:sz="0" w:space="0" w:color="auto"/>
            <w:right w:val="none" w:sz="0" w:space="0" w:color="auto"/>
          </w:divBdr>
        </w:div>
        <w:div w:id="1056394278">
          <w:marLeft w:val="115"/>
          <w:marRight w:val="0"/>
          <w:marTop w:val="0"/>
          <w:marBottom w:val="0"/>
          <w:divBdr>
            <w:top w:val="none" w:sz="0" w:space="0" w:color="auto"/>
            <w:left w:val="none" w:sz="0" w:space="0" w:color="auto"/>
            <w:bottom w:val="none" w:sz="0" w:space="0" w:color="auto"/>
            <w:right w:val="none" w:sz="0" w:space="0" w:color="auto"/>
          </w:divBdr>
        </w:div>
        <w:div w:id="1935825401">
          <w:marLeft w:val="115"/>
          <w:marRight w:val="0"/>
          <w:marTop w:val="0"/>
          <w:marBottom w:val="0"/>
          <w:divBdr>
            <w:top w:val="none" w:sz="0" w:space="0" w:color="auto"/>
            <w:left w:val="none" w:sz="0" w:space="0" w:color="auto"/>
            <w:bottom w:val="none" w:sz="0" w:space="0" w:color="auto"/>
            <w:right w:val="none" w:sz="0" w:space="0" w:color="auto"/>
          </w:divBdr>
        </w:div>
        <w:div w:id="2108844184">
          <w:marLeft w:val="115"/>
          <w:marRight w:val="0"/>
          <w:marTop w:val="0"/>
          <w:marBottom w:val="0"/>
          <w:divBdr>
            <w:top w:val="none" w:sz="0" w:space="0" w:color="auto"/>
            <w:left w:val="none" w:sz="0" w:space="0" w:color="auto"/>
            <w:bottom w:val="none" w:sz="0" w:space="0" w:color="auto"/>
            <w:right w:val="none" w:sz="0" w:space="0" w:color="auto"/>
          </w:divBdr>
        </w:div>
        <w:div w:id="1465461848">
          <w:marLeft w:val="115"/>
          <w:marRight w:val="0"/>
          <w:marTop w:val="0"/>
          <w:marBottom w:val="0"/>
          <w:divBdr>
            <w:top w:val="none" w:sz="0" w:space="0" w:color="auto"/>
            <w:left w:val="none" w:sz="0" w:space="0" w:color="auto"/>
            <w:bottom w:val="none" w:sz="0" w:space="0" w:color="auto"/>
            <w:right w:val="none" w:sz="0" w:space="0" w:color="auto"/>
          </w:divBdr>
        </w:div>
        <w:div w:id="1718239823">
          <w:marLeft w:val="115"/>
          <w:marRight w:val="0"/>
          <w:marTop w:val="0"/>
          <w:marBottom w:val="0"/>
          <w:divBdr>
            <w:top w:val="none" w:sz="0" w:space="0" w:color="auto"/>
            <w:left w:val="none" w:sz="0" w:space="0" w:color="auto"/>
            <w:bottom w:val="none" w:sz="0" w:space="0" w:color="auto"/>
            <w:right w:val="none" w:sz="0" w:space="0" w:color="auto"/>
          </w:divBdr>
        </w:div>
      </w:divsChild>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ombeagan@westlondonwaste.gov.uk"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TomBeagan\Documents\2024-02-13\Project%20Dashboard%20-%20OFFICI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GB"/>
              <a:t>HRRC Diversion </a:t>
            </a:r>
          </a:p>
          <a:p>
            <a:pPr algn="l">
              <a:defRPr/>
            </a:pPr>
            <a:r>
              <a:rPr lang="en-GB" sz="1200"/>
              <a:t>Diversion rates at HRRCs </a:t>
            </a:r>
            <a:r>
              <a:rPr lang="en-GB" sz="1100" b="0" i="0" u="none" strike="noStrike" kern="1200" spc="0" baseline="0">
                <a:solidFill>
                  <a:sysClr val="windowText" lastClr="000000">
                    <a:lumMod val="65000"/>
                    <a:lumOff val="35000"/>
                  </a:sysClr>
                </a:solidFill>
              </a:rPr>
              <a:t>since 2019/20</a:t>
            </a:r>
            <a:endParaRPr lang="en-GB"/>
          </a:p>
        </c:rich>
      </c:tx>
      <c:layout>
        <c:manualLayout>
          <c:xMode val="edge"/>
          <c:yMode val="edge"/>
          <c:x val="2.2654228936834313E-2"/>
          <c:y val="3.240749773534945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382686184182704E-2"/>
          <c:y val="0.19307767944936086"/>
          <c:w val="0.85349853121447694"/>
          <c:h val="0.59719322695282551"/>
        </c:manualLayout>
      </c:layout>
      <c:lineChart>
        <c:grouping val="standard"/>
        <c:varyColors val="0"/>
        <c:ser>
          <c:idx val="0"/>
          <c:order val="0"/>
          <c:tx>
            <c:strRef>
              <c:f>Summary!$C$18</c:f>
              <c:strCache>
                <c:ptCount val="1"/>
                <c:pt idx="0">
                  <c:v>Brent - Abbey Road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Summary!$D$17:$H$17</c:f>
              <c:strCache>
                <c:ptCount val="5"/>
                <c:pt idx="0">
                  <c:v>2019-20</c:v>
                </c:pt>
                <c:pt idx="1">
                  <c:v>2020-21</c:v>
                </c:pt>
                <c:pt idx="2">
                  <c:v>2021-22</c:v>
                </c:pt>
                <c:pt idx="3">
                  <c:v>2022-23</c:v>
                </c:pt>
                <c:pt idx="4">
                  <c:v>2023-24 YTD</c:v>
                </c:pt>
              </c:strCache>
            </c:strRef>
          </c:cat>
          <c:val>
            <c:numRef>
              <c:f>Summary!$D$18:$H$18</c:f>
              <c:numCache>
                <c:formatCode>0%;\-0%;0%</c:formatCode>
                <c:ptCount val="5"/>
                <c:pt idx="0">
                  <c:v>0.74011043074897087</c:v>
                </c:pt>
                <c:pt idx="1">
                  <c:v>0.76218580601664832</c:v>
                </c:pt>
                <c:pt idx="2">
                  <c:v>0.77536587564735693</c:v>
                </c:pt>
                <c:pt idx="3">
                  <c:v>0.72627140208658991</c:v>
                </c:pt>
                <c:pt idx="4">
                  <c:v>0.77415486982213089</c:v>
                </c:pt>
              </c:numCache>
            </c:numRef>
          </c:val>
          <c:smooth val="0"/>
          <c:extLst>
            <c:ext xmlns:c16="http://schemas.microsoft.com/office/drawing/2014/chart" uri="{C3380CC4-5D6E-409C-BE32-E72D297353CC}">
              <c16:uniqueId val="{00000000-66A0-43D8-9F32-D58138C4B74E}"/>
            </c:ext>
          </c:extLst>
        </c:ser>
        <c:ser>
          <c:idx val="1"/>
          <c:order val="1"/>
          <c:tx>
            <c:strRef>
              <c:f>Summary!$C$19</c:f>
              <c:strCache>
                <c:ptCount val="1"/>
                <c:pt idx="0">
                  <c:v>Ealing - Greenford Road</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Summary!$D$17:$H$17</c:f>
              <c:strCache>
                <c:ptCount val="5"/>
                <c:pt idx="0">
                  <c:v>2019-20</c:v>
                </c:pt>
                <c:pt idx="1">
                  <c:v>2020-21</c:v>
                </c:pt>
                <c:pt idx="2">
                  <c:v>2021-22</c:v>
                </c:pt>
                <c:pt idx="3">
                  <c:v>2022-23</c:v>
                </c:pt>
                <c:pt idx="4">
                  <c:v>2023-24 YTD</c:v>
                </c:pt>
              </c:strCache>
            </c:strRef>
          </c:cat>
          <c:val>
            <c:numRef>
              <c:f>Summary!$D$19:$H$19</c:f>
              <c:numCache>
                <c:formatCode>0%;\-0%;0%</c:formatCode>
                <c:ptCount val="5"/>
                <c:pt idx="0">
                  <c:v>0.64629702582065074</c:v>
                </c:pt>
                <c:pt idx="1">
                  <c:v>0.12720003748067032</c:v>
                </c:pt>
                <c:pt idx="2">
                  <c:v>0.57036511875221629</c:v>
                </c:pt>
                <c:pt idx="3">
                  <c:v>0.68897402872713087</c:v>
                </c:pt>
                <c:pt idx="4">
                  <c:v>0.60650318530035163</c:v>
                </c:pt>
              </c:numCache>
            </c:numRef>
          </c:val>
          <c:smooth val="0"/>
          <c:extLst>
            <c:ext xmlns:c16="http://schemas.microsoft.com/office/drawing/2014/chart" uri="{C3380CC4-5D6E-409C-BE32-E72D297353CC}">
              <c16:uniqueId val="{00000001-66A0-43D8-9F32-D58138C4B74E}"/>
            </c:ext>
          </c:extLst>
        </c:ser>
        <c:ser>
          <c:idx val="2"/>
          <c:order val="2"/>
          <c:tx>
            <c:strRef>
              <c:f>Summary!$C$20</c:f>
              <c:strCache>
                <c:ptCount val="1"/>
                <c:pt idx="0">
                  <c:v>Harrow - Forward Drive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cat>
            <c:strRef>
              <c:f>Summary!$D$17:$H$17</c:f>
              <c:strCache>
                <c:ptCount val="5"/>
                <c:pt idx="0">
                  <c:v>2019-20</c:v>
                </c:pt>
                <c:pt idx="1">
                  <c:v>2020-21</c:v>
                </c:pt>
                <c:pt idx="2">
                  <c:v>2021-22</c:v>
                </c:pt>
                <c:pt idx="3">
                  <c:v>2022-23</c:v>
                </c:pt>
                <c:pt idx="4">
                  <c:v>2023-24 YTD</c:v>
                </c:pt>
              </c:strCache>
            </c:strRef>
          </c:cat>
          <c:val>
            <c:numRef>
              <c:f>Summary!$D$20:$H$20</c:f>
              <c:numCache>
                <c:formatCode>0%;\-0%;0%</c:formatCode>
                <c:ptCount val="5"/>
                <c:pt idx="0">
                  <c:v>0.45759669362647626</c:v>
                </c:pt>
                <c:pt idx="1">
                  <c:v>0.34266923342034961</c:v>
                </c:pt>
                <c:pt idx="2">
                  <c:v>0.39534728282768783</c:v>
                </c:pt>
                <c:pt idx="3">
                  <c:v>0.4539520516601413</c:v>
                </c:pt>
                <c:pt idx="4">
                  <c:v>0.60139664804469284</c:v>
                </c:pt>
              </c:numCache>
            </c:numRef>
          </c:val>
          <c:smooth val="0"/>
          <c:extLst>
            <c:ext xmlns:c16="http://schemas.microsoft.com/office/drawing/2014/chart" uri="{C3380CC4-5D6E-409C-BE32-E72D297353CC}">
              <c16:uniqueId val="{00000002-66A0-43D8-9F32-D58138C4B74E}"/>
            </c:ext>
          </c:extLst>
        </c:ser>
        <c:ser>
          <c:idx val="3"/>
          <c:order val="3"/>
          <c:tx>
            <c:strRef>
              <c:f>Summary!$C$21</c:f>
              <c:strCache>
                <c:ptCount val="1"/>
                <c:pt idx="0">
                  <c:v>Hillingdon - New Years Green Lane</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cat>
            <c:strRef>
              <c:f>Summary!$D$17:$H$17</c:f>
              <c:strCache>
                <c:ptCount val="5"/>
                <c:pt idx="0">
                  <c:v>2019-20</c:v>
                </c:pt>
                <c:pt idx="1">
                  <c:v>2020-21</c:v>
                </c:pt>
                <c:pt idx="2">
                  <c:v>2021-22</c:v>
                </c:pt>
                <c:pt idx="3">
                  <c:v>2022-23</c:v>
                </c:pt>
                <c:pt idx="4">
                  <c:v>2023-24 YTD</c:v>
                </c:pt>
              </c:strCache>
            </c:strRef>
          </c:cat>
          <c:val>
            <c:numRef>
              <c:f>Summary!$D$21:$H$21</c:f>
              <c:numCache>
                <c:formatCode>0%;\-0%;0%</c:formatCode>
                <c:ptCount val="5"/>
                <c:pt idx="0">
                  <c:v>0.42061110263832624</c:v>
                </c:pt>
                <c:pt idx="1">
                  <c:v>0.32147093725841414</c:v>
                </c:pt>
                <c:pt idx="2">
                  <c:v>0.35504676129697477</c:v>
                </c:pt>
                <c:pt idx="3">
                  <c:v>0.37801685336126489</c:v>
                </c:pt>
                <c:pt idx="4">
                  <c:v>0.51129891396412508</c:v>
                </c:pt>
              </c:numCache>
            </c:numRef>
          </c:val>
          <c:smooth val="0"/>
          <c:extLst>
            <c:ext xmlns:c16="http://schemas.microsoft.com/office/drawing/2014/chart" uri="{C3380CC4-5D6E-409C-BE32-E72D297353CC}">
              <c16:uniqueId val="{00000003-66A0-43D8-9F32-D58138C4B74E}"/>
            </c:ext>
          </c:extLst>
        </c:ser>
        <c:ser>
          <c:idx val="4"/>
          <c:order val="4"/>
          <c:tx>
            <c:strRef>
              <c:f>Summary!$C$22</c:f>
              <c:strCache>
                <c:ptCount val="1"/>
                <c:pt idx="0">
                  <c:v>Hounslow - Space Waye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cat>
            <c:strRef>
              <c:f>Summary!$D$17:$H$17</c:f>
              <c:strCache>
                <c:ptCount val="5"/>
                <c:pt idx="0">
                  <c:v>2019-20</c:v>
                </c:pt>
                <c:pt idx="1">
                  <c:v>2020-21</c:v>
                </c:pt>
                <c:pt idx="2">
                  <c:v>2021-22</c:v>
                </c:pt>
                <c:pt idx="3">
                  <c:v>2022-23</c:v>
                </c:pt>
                <c:pt idx="4">
                  <c:v>2023-24 YTD</c:v>
                </c:pt>
              </c:strCache>
            </c:strRef>
          </c:cat>
          <c:val>
            <c:numRef>
              <c:f>Summary!$D$22:$H$22</c:f>
              <c:numCache>
                <c:formatCode>0%;\-0%;0%</c:formatCode>
                <c:ptCount val="5"/>
                <c:pt idx="0">
                  <c:v>0.5563388211047815</c:v>
                </c:pt>
                <c:pt idx="1">
                  <c:v>0.60389899299096317</c:v>
                </c:pt>
                <c:pt idx="2">
                  <c:v>0.57313541612591479</c:v>
                </c:pt>
                <c:pt idx="3">
                  <c:v>0.61270010205033265</c:v>
                </c:pt>
                <c:pt idx="4">
                  <c:v>0.41491850803506214</c:v>
                </c:pt>
              </c:numCache>
            </c:numRef>
          </c:val>
          <c:smooth val="0"/>
          <c:extLst>
            <c:ext xmlns:c16="http://schemas.microsoft.com/office/drawing/2014/chart" uri="{C3380CC4-5D6E-409C-BE32-E72D297353CC}">
              <c16:uniqueId val="{00000004-66A0-43D8-9F32-D58138C4B74E}"/>
            </c:ext>
          </c:extLst>
        </c:ser>
        <c:ser>
          <c:idx val="5"/>
          <c:order val="5"/>
          <c:tx>
            <c:strRef>
              <c:f>Summary!$C$23</c:f>
              <c:strCache>
                <c:ptCount val="1"/>
                <c:pt idx="0">
                  <c:v>Richmond - Townmead Road</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cat>
            <c:strRef>
              <c:f>Summary!$D$17:$H$17</c:f>
              <c:strCache>
                <c:ptCount val="5"/>
                <c:pt idx="0">
                  <c:v>2019-20</c:v>
                </c:pt>
                <c:pt idx="1">
                  <c:v>2020-21</c:v>
                </c:pt>
                <c:pt idx="2">
                  <c:v>2021-22</c:v>
                </c:pt>
                <c:pt idx="3">
                  <c:v>2022-23</c:v>
                </c:pt>
                <c:pt idx="4">
                  <c:v>2023-24 YTD</c:v>
                </c:pt>
              </c:strCache>
            </c:strRef>
          </c:cat>
          <c:val>
            <c:numRef>
              <c:f>Summary!$D$23:$H$23</c:f>
              <c:numCache>
                <c:formatCode>0%;\-0%;0%</c:formatCode>
                <c:ptCount val="5"/>
                <c:pt idx="0">
                  <c:v>0.70539946080440652</c:v>
                </c:pt>
                <c:pt idx="1">
                  <c:v>0.66969761048847476</c:v>
                </c:pt>
                <c:pt idx="2">
                  <c:v>0.75471000840555424</c:v>
                </c:pt>
                <c:pt idx="3">
                  <c:v>0.7880376255626339</c:v>
                </c:pt>
                <c:pt idx="4">
                  <c:v>0.84431793237337593</c:v>
                </c:pt>
              </c:numCache>
            </c:numRef>
          </c:val>
          <c:smooth val="0"/>
          <c:extLst>
            <c:ext xmlns:c16="http://schemas.microsoft.com/office/drawing/2014/chart" uri="{C3380CC4-5D6E-409C-BE32-E72D297353CC}">
              <c16:uniqueId val="{00000005-66A0-43D8-9F32-D58138C4B74E}"/>
            </c:ext>
          </c:extLst>
        </c:ser>
        <c:dLbls>
          <c:showLegendKey val="0"/>
          <c:showVal val="0"/>
          <c:showCatName val="0"/>
          <c:showSerName val="0"/>
          <c:showPercent val="0"/>
          <c:showBubbleSize val="0"/>
        </c:dLbls>
        <c:marker val="1"/>
        <c:smooth val="0"/>
        <c:axId val="959711272"/>
        <c:axId val="959706952"/>
      </c:lineChart>
      <c:catAx>
        <c:axId val="959711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706952"/>
        <c:crosses val="autoZero"/>
        <c:auto val="1"/>
        <c:lblAlgn val="ctr"/>
        <c:lblOffset val="100"/>
        <c:noMultiLvlLbl val="0"/>
      </c:catAx>
      <c:valAx>
        <c:axId val="959706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711272"/>
        <c:crosses val="autoZero"/>
        <c:crossBetween val="midCat"/>
      </c:valAx>
      <c:spPr>
        <a:noFill/>
        <a:ln>
          <a:noFill/>
        </a:ln>
        <a:effectLst/>
      </c:spPr>
    </c:plotArea>
    <c:legend>
      <c:legendPos val="b"/>
      <c:layout>
        <c:manualLayout>
          <c:xMode val="edge"/>
          <c:yMode val="edge"/>
          <c:x val="9.335238552141311E-3"/>
          <c:y val="0.86971345395984789"/>
          <c:w val="0.98132952289571751"/>
          <c:h val="0.106687725981155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1B2BDF79A00468BA6C1A44CC3D7D4" ma:contentTypeVersion="3" ma:contentTypeDescription="Create a new document." ma:contentTypeScope="" ma:versionID="9120922577a19fb3ce52d8d5cb7ec9d4">
  <xsd:schema xmlns:xsd="http://www.w3.org/2001/XMLSchema" xmlns:xs="http://www.w3.org/2001/XMLSchema" xmlns:p="http://schemas.microsoft.com/office/2006/metadata/properties" xmlns:ns2="45f9617e-56f3-4bb1-aa55-adbe28907e12" targetNamespace="http://schemas.microsoft.com/office/2006/metadata/properties" ma:root="true" ma:fieldsID="59ea4dd14e8dee6d099bdc83b674dda9" ns2:_="">
    <xsd:import namespace="45f9617e-56f3-4bb1-aa55-adbe28907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9617e-56f3-4bb1-aa55-adbe28907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8A45A-BB15-4E71-9032-860D8D15AEA7}">
  <ds:schemaRefs>
    <ds:schemaRef ds:uri="http://schemas.microsoft.com/sharepoint/v3/contenttype/forms"/>
  </ds:schemaRefs>
</ds:datastoreItem>
</file>

<file path=customXml/itemProps2.xml><?xml version="1.0" encoding="utf-8"?>
<ds:datastoreItem xmlns:ds="http://schemas.openxmlformats.org/officeDocument/2006/customXml" ds:itemID="{A7994B54-067F-4BE5-9BD3-761BDF28145B}">
  <ds:schemaRefs>
    <ds:schemaRef ds:uri="http://schemas.openxmlformats.org/officeDocument/2006/bibliography"/>
  </ds:schemaRefs>
</ds:datastoreItem>
</file>

<file path=customXml/itemProps3.xml><?xml version="1.0" encoding="utf-8"?>
<ds:datastoreItem xmlns:ds="http://schemas.openxmlformats.org/officeDocument/2006/customXml" ds:itemID="{027A0163-2DB7-416D-B1FB-E83E454E6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4F9C5-F8B4-4B05-B014-4ED2C8EA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9617e-56f3-4bb1-aa55-adbe2890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12297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10</cp:revision>
  <cp:lastPrinted>2019-09-11T09:24:00Z</cp:lastPrinted>
  <dcterms:created xsi:type="dcterms:W3CDTF">2024-03-12T17:35:00Z</dcterms:created>
  <dcterms:modified xsi:type="dcterms:W3CDTF">2024-03-13T13:57:00Z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0x010100B431B2BDF79A00468BA6C1A44CC3D7D4</vt:lpwstr>
  </property>
</Properties>
</file>